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single" w:color="FF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4"/>
      </w:tblGrid>
      <w:tr w14:paraId="50F0B9F7">
        <w:tblPrEx>
          <w:tblBorders>
            <w:top w:val="none" w:color="auto" w:sz="0" w:space="0"/>
            <w:left w:val="none" w:color="auto" w:sz="0" w:space="0"/>
            <w:bottom w:val="single" w:color="FF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8844" w:type="dxa"/>
            <w:tcBorders>
              <w:tl2br w:val="nil"/>
              <w:tr2bl w:val="nil"/>
            </w:tcBorders>
            <w:noWrap w:val="0"/>
            <w:vAlign w:val="center"/>
          </w:tcPr>
          <w:p w14:paraId="35581B75">
            <w:pPr>
              <w:keepNext w:val="0"/>
              <w:keepLines w:val="0"/>
              <w:pageBreakBefore w:val="0"/>
              <w:widowControl w:val="0"/>
              <w:tabs>
                <w:tab w:val="left" w:pos="2308"/>
                <w:tab w:val="center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00" w:lineRule="exact"/>
              <w:jc w:val="center"/>
              <w:textAlignment w:val="auto"/>
              <w:outlineLvl w:val="9"/>
              <w:rPr>
                <w:rFonts w:hint="eastAsia" w:ascii="方正小标宋简体" w:hAnsi="华文中宋" w:eastAsia="方正小标宋简体"/>
                <w:b/>
                <w:w w:val="52"/>
                <w:sz w:val="44"/>
                <w:szCs w:val="44"/>
                <w:vertAlign w:val="baseline"/>
                <w:lang w:eastAsia="zh-CN"/>
              </w:rPr>
            </w:pPr>
            <w:bookmarkStart w:id="0" w:name="Content"/>
          </w:p>
        </w:tc>
      </w:tr>
      <w:bookmarkEnd w:id="0"/>
      <w:tr w14:paraId="67B055A9">
        <w:tblPrEx>
          <w:tblBorders>
            <w:top w:val="none" w:color="auto" w:sz="0" w:space="0"/>
            <w:left w:val="none" w:color="auto" w:sz="0" w:space="0"/>
            <w:bottom w:val="single" w:color="FF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exact"/>
          <w:jc w:val="center"/>
        </w:trPr>
        <w:tc>
          <w:tcPr>
            <w:tcW w:w="8844" w:type="dxa"/>
            <w:tcBorders>
              <w:tl2br w:val="nil"/>
              <w:tr2bl w:val="nil"/>
            </w:tcBorders>
            <w:noWrap w:val="0"/>
            <w:vAlign w:val="center"/>
          </w:tcPr>
          <w:p w14:paraId="3CDCE202">
            <w:pPr>
              <w:keepNext w:val="0"/>
              <w:keepLines w:val="0"/>
              <w:pageBreakBefore w:val="0"/>
              <w:widowControl w:val="0"/>
              <w:tabs>
                <w:tab w:val="left" w:pos="2308"/>
                <w:tab w:val="center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00" w:lineRule="exact"/>
              <w:jc w:val="center"/>
              <w:textAlignment w:val="auto"/>
              <w:outlineLvl w:val="9"/>
              <w:rPr>
                <w:rFonts w:hint="eastAsia" w:ascii="方正小标宋简体" w:hAnsi="华文中宋" w:eastAsia="方正小标宋简体"/>
                <w:b w:val="0"/>
                <w:bCs/>
                <w:color w:val="FF0000"/>
                <w:w w:val="52"/>
                <w:sz w:val="144"/>
                <w:szCs w:val="14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>山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>东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>航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>空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</w:rPr>
              <w:t xml:space="preserve"> 学 院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eastAsia="zh-CN"/>
              </w:rPr>
              <w:t>研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eastAsia="zh-CN"/>
              </w:rPr>
              <w:t>究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eastAsia="zh-CN"/>
              </w:rPr>
              <w:t>生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eastAsia="zh-CN"/>
              </w:rPr>
              <w:t>处</w:t>
            </w:r>
          </w:p>
        </w:tc>
      </w:tr>
      <w:tr w14:paraId="04854A87">
        <w:tblPrEx>
          <w:tblBorders>
            <w:top w:val="none" w:color="auto" w:sz="0" w:space="0"/>
            <w:left w:val="none" w:color="auto" w:sz="0" w:space="0"/>
            <w:bottom w:val="single" w:color="FF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8844" w:type="dxa"/>
            <w:tcBorders>
              <w:tl2br w:val="nil"/>
              <w:tr2bl w:val="nil"/>
            </w:tcBorders>
            <w:noWrap w:val="0"/>
            <w:vAlign w:val="bottom"/>
          </w:tcPr>
          <w:p w14:paraId="395360F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outlineLvl w:val="0"/>
              <w:rPr>
                <w:rFonts w:hint="eastAsia" w:ascii="仿宋_GB2312" w:hAnsi="华文中宋" w:eastAsia="仿宋_GB2312"/>
                <w:color w:val="auto"/>
                <w:sz w:val="32"/>
                <w:szCs w:val="32"/>
              </w:rPr>
            </w:pPr>
          </w:p>
          <w:p w14:paraId="22A03D5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outlineLvl w:val="0"/>
              <w:rPr>
                <w:rFonts w:hint="eastAsia" w:ascii="仿宋_GB2312" w:hAnsi="华文中宋" w:eastAsia="仿宋_GB2312"/>
                <w:color w:val="auto"/>
                <w:sz w:val="32"/>
                <w:szCs w:val="32"/>
              </w:rPr>
            </w:pPr>
          </w:p>
          <w:p w14:paraId="44B0B1F1">
            <w:pPr>
              <w:spacing w:line="400" w:lineRule="exact"/>
              <w:jc w:val="center"/>
              <w:rPr>
                <w:rFonts w:hint="eastAsia" w:ascii="仿宋_GB2312" w:hAnsi="华文中宋" w:eastAsia="仿宋_GB2312"/>
                <w:color w:val="FF0000"/>
                <w:sz w:val="32"/>
                <w:szCs w:val="32"/>
                <w:u w:val="single"/>
              </w:rPr>
            </w:pP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  <w:lang w:eastAsia="zh-CN"/>
              </w:rPr>
              <w:t>研字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</w:rPr>
              <w:t>〔20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  <w:lang w:val="en-US" w:eastAsia="zh-CN"/>
              </w:rPr>
              <w:t>26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</w:rPr>
              <w:t>〕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  <w:lang w:val="en-US" w:eastAsia="zh-CN"/>
              </w:rPr>
              <w:t xml:space="preserve"> 17 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</w:rPr>
              <w:t>号</w:t>
            </w:r>
          </w:p>
          <w:p w14:paraId="74C2064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bidi w:val="0"/>
              <w:spacing w:line="400" w:lineRule="exact"/>
              <w:jc w:val="center"/>
              <w:textAlignment w:val="auto"/>
              <w:outlineLvl w:val="0"/>
              <w:rPr>
                <w:rFonts w:hint="eastAsia" w:ascii="仿宋_GB2312" w:hAnsi="华文中宋" w:eastAsia="仿宋_GB2312"/>
                <w:color w:val="auto"/>
                <w:sz w:val="32"/>
                <w:szCs w:val="32"/>
                <w:u w:val="single"/>
              </w:rPr>
            </w:pPr>
          </w:p>
          <w:p w14:paraId="4BD65290">
            <w:pPr>
              <w:keepNext w:val="0"/>
              <w:keepLines w:val="0"/>
              <w:pageBreakBefore w:val="0"/>
              <w:widowControl w:val="0"/>
              <w:tabs>
                <w:tab w:val="left" w:pos="2308"/>
                <w:tab w:val="center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00" w:lineRule="exact"/>
              <w:jc w:val="center"/>
              <w:textAlignment w:val="auto"/>
              <w:outlineLvl w:val="9"/>
              <w:rPr>
                <w:rFonts w:hint="eastAsia" w:ascii="方正小标宋简体" w:hAnsi="华文中宋" w:eastAsia="方正小标宋简体"/>
                <w:b/>
                <w:w w:val="52"/>
                <w:sz w:val="44"/>
                <w:szCs w:val="44"/>
                <w:vertAlign w:val="baseline"/>
                <w:lang w:eastAsia="zh-CN"/>
              </w:rPr>
            </w:pPr>
          </w:p>
        </w:tc>
      </w:tr>
    </w:tbl>
    <w:p w14:paraId="162B5651">
      <w:pPr>
        <w:rPr>
          <w:sz w:val="32"/>
          <w:szCs w:val="32"/>
        </w:rPr>
      </w:pPr>
    </w:p>
    <w:p w14:paraId="7352C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关于开展2026年研究生教材建设项目</w:t>
      </w:r>
    </w:p>
    <w:p w14:paraId="5D5F08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申报的通知</w:t>
      </w:r>
    </w:p>
    <w:p w14:paraId="393BC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978C4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各研究生培养单位：</w:t>
      </w:r>
    </w:p>
    <w:p w14:paraId="746F3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全面贯彻党的教育方针，落实立德树人根本任务，严格对标教育部《普通高等学校教材管理办法》（教材〔2019〕3号）要求，持续加强我校研究生教材建设与规范管理，完善高质量研究生教育教学体系，全面提升高层次人才培养质量，学校决定启动2026年度研究生精品教材建设项目申报工作。现将有关事项通知如下：</w:t>
      </w:r>
    </w:p>
    <w:p w14:paraId="49309F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一、申报范围与总体要求</w:t>
      </w:r>
    </w:p>
    <w:p w14:paraId="708200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（一）申报范围</w:t>
      </w:r>
    </w:p>
    <w:p w14:paraId="23E94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1.申报教材须精准对接我校各学科专业研究生培养方案课程体系，支撑研究生日常教学与人才培养。</w:t>
      </w:r>
    </w:p>
    <w:p w14:paraId="1F9EC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2.专业学位研究生教材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应</w:t>
      </w:r>
      <w:r>
        <w:rPr>
          <w:rFonts w:hint="eastAsia" w:ascii="仿宋_GB2312" w:hAnsi="仿宋_GB2312" w:eastAsia="仿宋_GB2312" w:cs="仿宋_GB2312"/>
          <w:sz w:val="32"/>
          <w:szCs w:val="32"/>
        </w:rPr>
        <w:t>聚焦实践能力培养，紧扣行业关键技术、核心工艺与实际应用场景，突出案例教学、项目设计与实操训练。鼓励联合行业产业导师、校企联合培养基地合作编写。重点支持研究生核心课、工程案例课、校企联合课、学科交叉课、前沿技术课、人工智能相关课程教材申报。</w:t>
      </w:r>
    </w:p>
    <w:p w14:paraId="57FB0B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人文素养类课程教材须坚持思想性与学术性统一、素养导向与能力并重、经典传承与时代前沿结合、中国主体性与世界眼光兼备的原则，契合研究生认知规律，严守政治底线与价值标准，实现科学性、系统性、人文性、创新性有机统一。</w:t>
      </w:r>
    </w:p>
    <w:p w14:paraId="651B9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4.项目建设周期为2年，所有立项教材须于2027年底前达到正式出版标准。</w:t>
      </w:r>
    </w:p>
    <w:p w14:paraId="627F4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5.优先遴选前期建设基础扎实、内容体系成熟，2026年可实现正式出版的教材项目。</w:t>
      </w:r>
    </w:p>
    <w:p w14:paraId="5B10E1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（二）申报基本要求</w:t>
      </w:r>
    </w:p>
    <w:p w14:paraId="66BC2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1.政治价值要求：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马克思主义指导地位，牢牢把握正确政治方向和价值导向，充分融入习近平新时代中国特色社会主义思想等党的创新理论成果，彰显中国特色、中国风格、中国气派，贴合国家教育育人要求，弘扬主流价值观，吸纳人类优秀文化成果与创新经验。</w:t>
      </w:r>
    </w:p>
    <w:p w14:paraId="4D95D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2.内容质量要求：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遵循研究生教育教学规律，契合高层次人才培养定位，落实价值塑造、知识传授、能力培养三位一体育人目标。内容及时更新学科前沿知识、行业新技术、科研新成果。严禁以学术著作、论文集、教学参考书、课程讲义等替代正式教材。</w:t>
      </w:r>
    </w:p>
    <w:p w14:paraId="51325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3.项目负责人要求：</w:t>
      </w:r>
      <w:r>
        <w:rPr>
          <w:rFonts w:hint="eastAsia" w:ascii="仿宋_GB2312" w:hAnsi="仿宋_GB2312" w:eastAsia="仿宋_GB2312" w:cs="仿宋_GB2312"/>
          <w:sz w:val="32"/>
          <w:szCs w:val="32"/>
        </w:rPr>
        <w:t>须为我校全职在岗、具备高级职称的专任教师，为申报教材主编（第一主编），学术功底深厚、教学经验丰富，熟悉教材编写规范，具备相关教材建设成果，无学术不端记录。鼓励组建跨学科、老中青结合的编写团队，打造稳定的研究生教学教研队伍。每名申请人本年度仅限申报1部教材。</w:t>
      </w:r>
    </w:p>
    <w:p w14:paraId="54212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4.编写团队要求：</w:t>
      </w:r>
      <w:r>
        <w:rPr>
          <w:rFonts w:hint="eastAsia" w:ascii="仿宋_GB2312" w:hAnsi="仿宋_GB2312" w:eastAsia="仿宋_GB2312" w:cs="仿宋_GB2312"/>
          <w:sz w:val="32"/>
          <w:szCs w:val="32"/>
        </w:rPr>
        <w:t>全体编写人员政治立场坚定、师德师风优良、学风严谨端正，一般具备高级专业技术职务，遵纪守法、品行端正，能够保障充足时间和精力完成教材编写、修订、打磨工作。</w:t>
      </w:r>
    </w:p>
    <w:p w14:paraId="1225B8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5.重点支持方向：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扶持《研究生核心课程指南》对应核心课程教材、国家关键领域及新兴交叉学科教材、融合课程思政与教学改革成果的特色系列教材；优先支持信息技术与教育教学深度融合的新形态教材。所有申报教材须配套完整教学课件，适配线上线下多元化教学场景。</w:t>
      </w:r>
    </w:p>
    <w:p w14:paraId="4C435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二、申报程序与材料报送</w:t>
      </w:r>
    </w:p>
    <w:p w14:paraId="5B4433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（一）个人申报</w:t>
      </w:r>
    </w:p>
    <w:p w14:paraId="2241A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申报教师及教学团队按要求准备全套材料，同步提交纸质版与电子版至所属研究生培养单位汇总审核，具体材料如下：</w:t>
      </w:r>
    </w:p>
    <w:p w14:paraId="662E5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1.《山东航空学院研究生教材建设项目申报表》（附件1），一式5份，至少1份为盖章原件；</w:t>
      </w:r>
    </w:p>
    <w:p w14:paraId="3291B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2.教材编写大纲，一式5份，与申报表合并装订；</w:t>
      </w:r>
    </w:p>
    <w:p w14:paraId="44306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3.教材完整样章（不少于2章），一式1份；</w:t>
      </w:r>
    </w:p>
    <w:p w14:paraId="418D4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4.讲义、课程教案等相关教学支撑材料（自愿选择性提交）。</w:t>
      </w:r>
    </w:p>
    <w:p w14:paraId="79F84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（二）培养单位审核推荐</w:t>
      </w:r>
    </w:p>
    <w:p w14:paraId="0A53C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落实教材“凡编必审”制度。各培养单位须召开学术分委员会或学位评定分委员会，对申报教材的内容质量、学术规范性进行审核；单位党委负责审查教材政治导向、编写人员政治素养与师德师风情况。审核通过后，对拟推荐项目及参编人员名单进行公示，公示期不少于3个工作日。</w:t>
      </w:r>
    </w:p>
    <w:p w14:paraId="72404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请各单位于2026年6月2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日前完成审核、公示及推荐工作，将签字盖章齐全的纸质材料统一报送至研究生处。</w:t>
      </w:r>
    </w:p>
    <w:p w14:paraId="44380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（三）学校评审立项</w:t>
      </w:r>
    </w:p>
    <w:p w14:paraId="0F80B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研究生处对各单位推荐材料进行汇总审核，组织专家开展评审，评审结果公示无异议后，正式确定2026年度研究生教材建设立项项目。</w:t>
      </w:r>
    </w:p>
    <w:p w14:paraId="7DADE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三、项目管理与结项要求</w:t>
      </w:r>
    </w:p>
    <w:p w14:paraId="1693D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（一）项目资助</w:t>
      </w:r>
    </w:p>
    <w:p w14:paraId="41AF7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项目立项数量及资助标准根据本年度申报情况、专家评审结果统筹确定。立项经费拨付后，项目负责人可凭正式出版发票、出版合同、样书，按照学校财务管理制度依规报销。</w:t>
      </w:r>
    </w:p>
    <w:p w14:paraId="42328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（二）建设与结项要求</w:t>
      </w:r>
    </w:p>
    <w:p w14:paraId="2EE2B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1.立项教材须优先选择国内高水平出版社出版，正式出版后需在教材显著位置标注“山东航空学院研究生教材项目资助”字样。</w:t>
      </w:r>
    </w:p>
    <w:p w14:paraId="3472BE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2.项目结项需提交材料：正式出版教材2套（可先提交样书1套及出版合同，正式出版后补齐材料）；教材出版后未来三年的年度使用计划，明确教材适用院校、专业、课程及预计授课学生规模等内容。</w:t>
      </w:r>
    </w:p>
    <w:p w14:paraId="7C201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3.严格执行项目周期管理，2027年底未完成教材正式出版、无法按期结项的项目，学校将取消其校级立项资格，收回剩余资助经费，项目负责人3年内不得申报学校研究生教材建设项目。</w:t>
      </w:r>
    </w:p>
    <w:p w14:paraId="63206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（三）质量管理责任</w:t>
      </w:r>
    </w:p>
    <w:p w14:paraId="267F7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实行主编负责制，主编全面统筹教材编写、统稿校对工作，对教材整体质量、政治导向、学术规范负总责；参编人员对各自负责编写章节内容承担直接责任；教师个人独立编写的教材，由本人承担全部质量责任。</w:t>
      </w:r>
    </w:p>
    <w:p w14:paraId="611B8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各培养单位需高度重视研究生教材建设工作，结合本单位学科特色与人才培养需求，做好顶层设计与统筹规划，广泛研讨、择优推荐，高质量完成本次申报组织工作。</w:t>
      </w:r>
    </w:p>
    <w:p w14:paraId="3201A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四、联系方式</w:t>
      </w:r>
    </w:p>
    <w:p w14:paraId="29B04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38" w:firstLineChars="133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0"/>
          <w:kern w:val="0"/>
          <w:sz w:val="32"/>
          <w:szCs w:val="32"/>
          <w:fitText w:val="1280" w:id="232870636"/>
        </w:rPr>
        <w:t>联系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fitText w:val="1280" w:id="232870636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</w:rPr>
        <w:t>：张老师</w:t>
      </w:r>
    </w:p>
    <w:p w14:paraId="04A21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联系电话：0543-3095916（86916）</w:t>
      </w:r>
      <w:bookmarkStart w:id="1" w:name="_GoBack"/>
      <w:bookmarkEnd w:id="1"/>
    </w:p>
    <w:p w14:paraId="09882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电子邮箱：yjscbgs@126.com</w:t>
      </w:r>
    </w:p>
    <w:p w14:paraId="7FFE3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办公地址：11#417-1</w:t>
      </w:r>
    </w:p>
    <w:p w14:paraId="48DC2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3FA4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附件：1.山东航空学院研究生教材建设项目申报表</w:t>
      </w:r>
    </w:p>
    <w:p w14:paraId="7F4DC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2.2026年山东航空学院研究生教材申报汇总表</w:t>
      </w:r>
    </w:p>
    <w:p w14:paraId="2BD9F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FDEE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B3C31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　　　　　　　　　　　　　研究生处</w:t>
      </w:r>
    </w:p>
    <w:p w14:paraId="5C00F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　　　　　　　　　　　　2026年5月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4CC2C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440" w:firstLineChars="17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B056D27-6C29-4592-BDEB-4EC635FB0B3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A5EE44D-250D-4120-BE48-3B4E20997863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20BB31B0-A8F8-4D83-8F98-805B50A73FA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5BB576C4-EF40-49D6-857E-1304272F6BA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DB605871-35CF-433F-9A30-5E9400D24EF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17C1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519085">
                          <w:pPr>
                            <w:pStyle w:val="3"/>
                            <w:rPr>
                              <w:rFonts w:hint="default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519085">
                    <w:pPr>
                      <w:pStyle w:val="3"/>
                      <w:rPr>
                        <w:rFonts w:hint="default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B640A6"/>
    <w:rsid w:val="00816DD0"/>
    <w:rsid w:val="04872ED9"/>
    <w:rsid w:val="092108C3"/>
    <w:rsid w:val="3E837422"/>
    <w:rsid w:val="511026B1"/>
    <w:rsid w:val="6ED06B30"/>
    <w:rsid w:val="703800C5"/>
    <w:rsid w:val="75A64893"/>
    <w:rsid w:val="775574B3"/>
    <w:rsid w:val="7EB6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2a6e8995-0b57-4414-851d-7ec2d30aadf5</errorID>
      <errorWord>反应</errorWord>
      <group>L1_Word</group>
      <groupName>字词问题</groupName>
      <ability>L2_Typo</ability>
      <abilityName>字词错误</abilityName>
      <candidateList>
        <item>反映</item>
      </candidateList>
      <explain>〈动〉❶反照，比喻把客观事物的实质表现出来：这部小说～了现实的生活和斗争。❷把情况、意见等告诉上级或有关部门：把情况～到县里｜他～的意见值得重视。❸通常指机体接受和回答客观事物影响的活动过程。</explain>
      <paraID>175A1B8F</paraID>
      <start>23</start>
      <end>25</end>
      <status>unmodified</status>
      <modifiedWord/>
      <trackRevisions>false</trackRevisions>
    </reviewItem>
    <reviewItem>
      <errorID>4d189e33-750d-41ea-a715-90e1788d193d</errorID>
      <errorWord>风格</errorWord>
      <group>L1_Word</group>
      <groupName>字词问题</groupName>
      <ability>L2_Typo</ability>
      <abilityName>字词错误</abilityName>
      <candidateList>
        <item>特色</item>
      </candidateList>
      <explain/>
      <paraID>6BB409D0</paraID>
      <start>68</start>
      <end>70</end>
      <status>unmodified</status>
      <modifiedWord/>
      <trackRevisions>false</trackRevisions>
    </reviewItem>
    <reviewItem>
      <errorID>8fcefb14-8ff0-4eb6-90f9-6986d286cfb4</errorID>
      <errorWord>价值</errorWord>
      <group>L1_Word</group>
      <groupName>字词问题</groupName>
      <ability>L2_Typo</ability>
      <abilityName>字词错误</abilityName>
      <candidateList>
        <item>将价值</item>
      </candidateList>
      <explain/>
      <paraID>360D67D6</paraID>
      <start>36</start>
      <end>38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634d58-7356-4863-bf08-1e893bb7e2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2163</Words>
  <Characters>2255</Characters>
  <Lines>0</Lines>
  <Paragraphs>0</Paragraphs>
  <TotalTime>2</TotalTime>
  <ScaleCrop>false</ScaleCrop>
  <LinksUpToDate>false</LinksUpToDate>
  <CharactersWithSpaces>2300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2026-05-07T10:00:00Z</dcterms:created>
  <dc:creator>xixi</dc:creator>
  <cp:lastModifiedBy>xixi</cp:lastModifiedBy>
  <dcterms:modified xsi:type="dcterms:W3CDTF">2026-05-26T03:34:58Z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5B7C24D0358D4603B27A4D8477A65C5A_13</vt:lpwstr>
  </property>
  <property fmtid="{D5CDD505-2E9C-101B-9397-08002B2CF9AE}" pid="4" name="KSOTemplateDocerSaveRecord">
    <vt:lpwstr>eyJoZGlkIjoiM2RhY2FhZGYzOWU3MzRkN2Q1Y2I2MDNhMjdkYmM4ODQiLCJ1c2VySWQiOiIyODI1ODQwNjYifQ==</vt:lpwstr>
  </property>
</Properties>
</file>