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14:paraId="47903578">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vAlign w:val="center"/>
          </w:tcPr>
          <w:p w14:paraId="4536E072">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14:paraId="49060A92">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vAlign w:val="center"/>
          </w:tcPr>
          <w:p w14:paraId="470F34C4">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山</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东</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航</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空</w:t>
            </w:r>
            <w:r>
              <w:rPr>
                <w:rFonts w:hint="eastAsia" w:ascii="方正小标宋简体" w:hAnsi="方正小标宋简体" w:eastAsia="方正小标宋简体" w:cs="方正小标宋简体"/>
                <w:b w:val="0"/>
                <w:bCs w:val="0"/>
                <w:color w:val="FF0000"/>
                <w:spacing w:val="-28"/>
                <w:w w:val="45"/>
                <w:kern w:val="144"/>
                <w:sz w:val="144"/>
                <w:szCs w:val="144"/>
              </w:rPr>
              <w:t xml:space="preserve"> 学 院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研</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究</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生</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处</w:t>
            </w:r>
          </w:p>
        </w:tc>
      </w:tr>
      <w:tr w14:paraId="35799406">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vAlign w:val="bottom"/>
          </w:tcPr>
          <w:p w14:paraId="005D6F05">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67A5EABE">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6E178FC2">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25</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 xml:space="preserve"> 18 </w:t>
            </w:r>
            <w:r>
              <w:rPr>
                <w:rFonts w:hint="eastAsia" w:ascii="仿宋_GB2312" w:hAnsi="华文中宋" w:eastAsia="仿宋_GB2312"/>
                <w:color w:val="000000"/>
                <w:sz w:val="32"/>
                <w:szCs w:val="32"/>
              </w:rPr>
              <w:t>号</w:t>
            </w:r>
          </w:p>
          <w:p w14:paraId="0935E181">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14:paraId="35FF3D2A">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14:paraId="40572B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p>
    <w:p w14:paraId="77655DB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山东航空学院</w:t>
      </w:r>
      <w:r>
        <w:rPr>
          <w:rFonts w:hint="eastAsia" w:ascii="方正小标宋简体" w:hAnsi="方正小标宋简体" w:eastAsia="方正小标宋简体" w:cs="方正小标宋简体"/>
          <w:sz w:val="44"/>
          <w:szCs w:val="44"/>
        </w:rPr>
        <w:t>研究生优质教育教学资源建设</w:t>
      </w:r>
      <w:r>
        <w:rPr>
          <w:rFonts w:hint="eastAsia" w:ascii="方正小标宋简体" w:hAnsi="方正小标宋简体" w:eastAsia="方正小标宋简体" w:cs="方正小标宋简体"/>
          <w:sz w:val="44"/>
          <w:szCs w:val="44"/>
          <w:lang w:val="en-US" w:eastAsia="zh-CN"/>
        </w:rPr>
        <w:t>系列</w:t>
      </w:r>
      <w:r>
        <w:rPr>
          <w:rFonts w:hint="eastAsia" w:ascii="方正小标宋简体" w:hAnsi="方正小标宋简体" w:eastAsia="方正小标宋简体" w:cs="方正小标宋简体"/>
          <w:sz w:val="44"/>
          <w:szCs w:val="44"/>
        </w:rPr>
        <w:t>项目</w:t>
      </w:r>
      <w:r>
        <w:rPr>
          <w:rFonts w:hint="eastAsia" w:ascii="方正小标宋简体" w:hAnsi="方正小标宋简体" w:eastAsia="方正小标宋简体" w:cs="方正小标宋简体"/>
          <w:sz w:val="44"/>
          <w:szCs w:val="44"/>
          <w:lang w:val="en-US" w:eastAsia="zh-CN"/>
        </w:rPr>
        <w:t>申报</w:t>
      </w:r>
      <w:r>
        <w:rPr>
          <w:rFonts w:hint="eastAsia" w:ascii="方正小标宋简体" w:hAnsi="方正小标宋简体" w:eastAsia="方正小标宋简体" w:cs="方正小标宋简体"/>
          <w:sz w:val="44"/>
          <w:szCs w:val="44"/>
        </w:rPr>
        <w:t>工作的通知</w:t>
      </w:r>
    </w:p>
    <w:p w14:paraId="232FB3FC">
      <w:pPr>
        <w:keepNext w:val="0"/>
        <w:keepLines w:val="0"/>
        <w:pageBreakBefore w:val="0"/>
        <w:widowControl w:val="0"/>
        <w:kinsoku/>
        <w:wordWrap/>
        <w:overflowPunct/>
        <w:topLinePunct w:val="0"/>
        <w:autoSpaceDE/>
        <w:autoSpaceDN/>
        <w:bidi w:val="0"/>
        <w:adjustRightInd/>
        <w:snapToGrid/>
        <w:spacing w:line="560" w:lineRule="exact"/>
        <w:ind w:firstLine="880" w:firstLineChars="200"/>
        <w:textAlignment w:val="auto"/>
        <w:rPr>
          <w:rFonts w:hint="eastAsia" w:ascii="方正小标宋简体" w:hAnsi="方正小标宋简体" w:eastAsia="方正小标宋简体" w:cs="方正小标宋简体"/>
          <w:sz w:val="44"/>
          <w:szCs w:val="44"/>
        </w:rPr>
      </w:pPr>
    </w:p>
    <w:p w14:paraId="0727288C">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各二级学院</w:t>
      </w:r>
      <w:r>
        <w:rPr>
          <w:rFonts w:hint="eastAsia" w:ascii="仿宋_GB2312" w:hAnsi="仿宋_GB2312" w:eastAsia="仿宋_GB2312" w:cs="仿宋_GB2312"/>
          <w:b/>
          <w:bCs/>
          <w:sz w:val="32"/>
          <w:szCs w:val="32"/>
          <w:lang w:eastAsia="zh-CN"/>
        </w:rPr>
        <w:t>（部）</w:t>
      </w:r>
      <w:r>
        <w:rPr>
          <w:rFonts w:hint="eastAsia" w:ascii="仿宋_GB2312" w:hAnsi="仿宋_GB2312" w:eastAsia="仿宋_GB2312" w:cs="仿宋_GB2312"/>
          <w:b/>
          <w:bCs/>
          <w:sz w:val="32"/>
          <w:szCs w:val="32"/>
        </w:rPr>
        <w:t>、校直科研机构：</w:t>
      </w:r>
    </w:p>
    <w:p w14:paraId="2F828E66">
      <w:pPr>
        <w:pStyle w:val="2"/>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为贯彻落实全国、全省研究生教育会议精神，</w:t>
      </w:r>
      <w:r>
        <w:rPr>
          <w:rFonts w:hint="eastAsia" w:ascii="仿宋_GB2312" w:hAnsi="仿宋_GB2312" w:eastAsia="仿宋_GB2312" w:cs="仿宋_GB2312"/>
          <w:sz w:val="32"/>
          <w:szCs w:val="32"/>
          <w:lang w:val="en-US" w:eastAsia="zh-CN"/>
        </w:rPr>
        <w:t>夯实</w:t>
      </w:r>
      <w:r>
        <w:rPr>
          <w:rFonts w:hint="eastAsia" w:ascii="仿宋_GB2312" w:hAnsi="仿宋_GB2312" w:eastAsia="仿宋_GB2312" w:cs="仿宋_GB2312"/>
          <w:sz w:val="32"/>
          <w:szCs w:val="32"/>
        </w:rPr>
        <w:t>研究生教育</w:t>
      </w:r>
      <w:r>
        <w:rPr>
          <w:rFonts w:hint="eastAsia" w:ascii="仿宋_GB2312" w:hAnsi="仿宋_GB2312" w:eastAsia="仿宋_GB2312" w:cs="仿宋_GB2312"/>
          <w:sz w:val="32"/>
          <w:szCs w:val="32"/>
          <w:lang w:val="en-US" w:eastAsia="zh-CN"/>
        </w:rPr>
        <w:t>基础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提升</w:t>
      </w:r>
      <w:r>
        <w:rPr>
          <w:rFonts w:hint="eastAsia" w:ascii="仿宋_GB2312" w:hAnsi="仿宋_GB2312" w:eastAsia="仿宋_GB2312" w:cs="仿宋_GB2312"/>
          <w:sz w:val="32"/>
          <w:szCs w:val="32"/>
        </w:rPr>
        <w:t>研究生教育质量，鼓励广大教师积极开展研究生教育教学改革研究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经学校研究，决定组织开展202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年校级研究生优质教育教学资源建设</w:t>
      </w:r>
      <w:r>
        <w:rPr>
          <w:rFonts w:hint="eastAsia" w:ascii="仿宋_GB2312" w:hAnsi="仿宋_GB2312" w:eastAsia="仿宋_GB2312" w:cs="仿宋_GB2312"/>
          <w:sz w:val="32"/>
          <w:szCs w:val="32"/>
          <w:lang w:val="en-US" w:eastAsia="zh-CN"/>
        </w:rPr>
        <w:t>系列</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主要为：（1）研</w:t>
      </w:r>
      <w:r>
        <w:rPr>
          <w:rFonts w:hint="eastAsia" w:ascii="仿宋_GB2312" w:hAnsi="仿宋_GB2312" w:eastAsia="仿宋_GB2312" w:cs="仿宋_GB2312"/>
          <w:sz w:val="32"/>
          <w:szCs w:val="32"/>
        </w:rPr>
        <w:t>究生教育教学改革研究项目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专业学位研究生教学案例库</w:t>
      </w:r>
      <w:r>
        <w:rPr>
          <w:rFonts w:hint="eastAsia" w:ascii="仿宋_GB2312" w:hAnsi="仿宋_GB2312" w:eastAsia="仿宋_GB2312" w:cs="仿宋_GB2312"/>
          <w:sz w:val="32"/>
          <w:szCs w:val="32"/>
          <w:lang w:val="en-US" w:eastAsia="zh-CN"/>
        </w:rPr>
        <w:t>建设项目，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优质</w:t>
      </w:r>
      <w:r>
        <w:rPr>
          <w:rFonts w:hint="eastAsia" w:ascii="仿宋_GB2312" w:hAnsi="仿宋_GB2312" w:eastAsia="仿宋_GB2312" w:cs="仿宋_GB2312"/>
          <w:sz w:val="32"/>
          <w:szCs w:val="32"/>
        </w:rPr>
        <w:t>研究生课程</w:t>
      </w:r>
      <w:r>
        <w:rPr>
          <w:rFonts w:hint="eastAsia" w:ascii="仿宋_GB2312" w:hAnsi="仿宋_GB2312" w:eastAsia="仿宋_GB2312" w:cs="仿宋_GB2312"/>
          <w:sz w:val="32"/>
          <w:szCs w:val="32"/>
          <w:lang w:val="en-US" w:eastAsia="zh-CN"/>
        </w:rPr>
        <w:t>培育项目，（4）研究生课程思政示范项目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省级研究生联合培养基地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现就具体事项通知如下。</w:t>
      </w:r>
    </w:p>
    <w:p w14:paraId="70D81B9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一、研究生教育教学改革研究项目</w:t>
      </w:r>
    </w:p>
    <w:p w14:paraId="7230936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rPr>
        <w:t>立项范围</w:t>
      </w:r>
    </w:p>
    <w:p w14:paraId="29762E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年山东省研究生教育教学改革研究项目申报参考指南》（附件1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）自主选题申报。</w:t>
      </w:r>
    </w:p>
    <w:p w14:paraId="2CCF954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黑体" w:hAnsi="黑体" w:eastAsia="黑体" w:cs="黑体"/>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）申报条件</w:t>
      </w:r>
      <w:r>
        <w:rPr>
          <w:rFonts w:hint="eastAsia" w:ascii="黑体" w:hAnsi="黑体" w:eastAsia="黑体" w:cs="黑体"/>
          <w:sz w:val="32"/>
          <w:szCs w:val="32"/>
        </w:rPr>
        <w:t xml:space="preserve"> </w:t>
      </w:r>
    </w:p>
    <w:p w14:paraId="61D8CE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项目研究应遵循教育教学规律，有明确的研究目标，较好的研究和改革实践基础；研究内容具有较强的科学性、前瞻性和引领性；体现教育改革发展新要求、新态势；改革路线清晰，研究设计科学合理，研究方法和实践途径可行；预期成效具有推广应用价值，研究成果可在一定范围内发挥示范带动作用；项目经费预算安排合理。</w:t>
      </w:r>
    </w:p>
    <w:p w14:paraId="613BC8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原则上，项目主持人应具有</w:t>
      </w:r>
      <w:r>
        <w:rPr>
          <w:rFonts w:hint="eastAsia" w:ascii="Times New Roman" w:hAnsi="Times New Roman" w:eastAsia="仿宋_GB2312" w:cs="Times New Roman"/>
          <w:sz w:val="32"/>
          <w:szCs w:val="32"/>
          <w:lang w:val="en-US" w:eastAsia="zh-CN"/>
        </w:rPr>
        <w:t>中级</w:t>
      </w:r>
      <w:r>
        <w:rPr>
          <w:rFonts w:hint="default" w:ascii="Times New Roman" w:hAnsi="Times New Roman" w:eastAsia="仿宋_GB2312" w:cs="Times New Roman"/>
          <w:sz w:val="32"/>
          <w:szCs w:val="32"/>
        </w:rPr>
        <w:t>以上专业技术职务；每人主持项目不超过1项。</w:t>
      </w:r>
    </w:p>
    <w:p w14:paraId="1707DE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项目成员组成合理、规模适度，一般不超过10人（含主持人）。项目成员须直接参加项目的方案设计、论证、研究和实施。原则上，参与项目总数不超过2项。</w:t>
      </w:r>
    </w:p>
    <w:p w14:paraId="1AB6DA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鼓励与科研院所、企业等单位联合申报，积极开展协同创新研究。</w:t>
      </w:r>
    </w:p>
    <w:p w14:paraId="4F0C5A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DF3621"/>
          <w:sz w:val="32"/>
          <w:szCs w:val="32"/>
          <w:lang w:val="en-US" w:eastAsia="zh-CN"/>
        </w:rPr>
        <w:t>5.</w:t>
      </w:r>
      <w:r>
        <w:rPr>
          <w:rFonts w:hint="default" w:ascii="Times New Roman" w:hAnsi="Times New Roman" w:eastAsia="仿宋_GB2312" w:cs="Times New Roman"/>
          <w:b/>
          <w:bCs/>
          <w:color w:val="DF3621"/>
          <w:sz w:val="32"/>
          <w:szCs w:val="32"/>
        </w:rPr>
        <w:t>主持校级研究生教改项目未结题者，可参与省级教改项目申报，但不作校级教改项目立项</w:t>
      </w:r>
      <w:r>
        <w:rPr>
          <w:rFonts w:hint="eastAsia" w:ascii="Times New Roman" w:hAnsi="Times New Roman" w:eastAsia="仿宋_GB2312" w:cs="Times New Roman"/>
          <w:b/>
          <w:bCs/>
          <w:color w:val="DF3621"/>
          <w:sz w:val="32"/>
          <w:szCs w:val="32"/>
          <w:lang w:eastAsia="zh-CN"/>
        </w:rPr>
        <w:t>。</w:t>
      </w:r>
      <w:r>
        <w:rPr>
          <w:rFonts w:hint="eastAsia" w:ascii="Times New Roman" w:hAnsi="Times New Roman" w:eastAsia="仿宋_GB2312" w:cs="Times New Roman"/>
          <w:b/>
          <w:bCs/>
          <w:color w:val="DF3621"/>
          <w:sz w:val="32"/>
          <w:szCs w:val="32"/>
          <w:lang w:val="en-US" w:eastAsia="zh-CN"/>
        </w:rPr>
        <w:t>此次申报请一并按要求提交申报书等材料，请在汇总表备注中标明校级未结项</w:t>
      </w:r>
      <w:r>
        <w:rPr>
          <w:rFonts w:hint="eastAsia" w:ascii="Times New Roman" w:hAnsi="Times New Roman" w:eastAsia="仿宋_GB2312" w:cs="Times New Roman"/>
          <w:sz w:val="32"/>
          <w:szCs w:val="32"/>
          <w:lang w:val="en-US" w:eastAsia="zh-CN"/>
        </w:rPr>
        <w:t>。</w:t>
      </w:r>
    </w:p>
    <w:p w14:paraId="26EC5D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w:t>
      </w:r>
    </w:p>
    <w:p w14:paraId="7155A4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研</w:t>
      </w:r>
      <w:r>
        <w:rPr>
          <w:rFonts w:hint="eastAsia" w:ascii="仿宋_GB2312" w:hAnsi="仿宋_GB2312" w:eastAsia="仿宋_GB2312" w:cs="仿宋_GB2312"/>
          <w:sz w:val="32"/>
          <w:szCs w:val="32"/>
        </w:rPr>
        <w:t>究生教育教学改革研究项目</w:t>
      </w:r>
      <w:r>
        <w:rPr>
          <w:rFonts w:hint="default" w:ascii="Times New Roman" w:hAnsi="Times New Roman" w:eastAsia="仿宋_GB2312" w:cs="Times New Roman"/>
          <w:sz w:val="32"/>
          <w:szCs w:val="32"/>
          <w:lang w:val="en-US" w:eastAsia="zh-CN"/>
        </w:rPr>
        <w:t>建设</w:t>
      </w:r>
      <w:r>
        <w:rPr>
          <w:rFonts w:hint="default" w:ascii="Times New Roman" w:hAnsi="Times New Roman" w:eastAsia="仿宋_GB2312" w:cs="Times New Roman"/>
          <w:sz w:val="32"/>
          <w:szCs w:val="32"/>
        </w:rPr>
        <w:t>周期一般为 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p>
    <w:p w14:paraId="4B78966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二、专业学位研究生教学案例库建设项目</w:t>
      </w:r>
    </w:p>
    <w:p w14:paraId="647584E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（一）立项范围</w:t>
      </w:r>
    </w:p>
    <w:p w14:paraId="0A97C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按照专业学位类别（领域）培养方案设置的课程需求进行申报建设。</w:t>
      </w:r>
    </w:p>
    <w:p w14:paraId="139F44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（二）立项条件</w:t>
      </w:r>
    </w:p>
    <w:p w14:paraId="34A47D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1.案例库所涉及的案例类型、案例编写规范须符合所在专业学位研究生教育指导委员会制定的相关要求。案例叙述清晰，理论分析准确、实用，教学案例组织合理、结构严谨。立项课程案例库建设项目中教学案例</w:t>
      </w:r>
      <w:r>
        <w:rPr>
          <w:rFonts w:hint="default" w:ascii="Times New Roman" w:hAnsi="Times New Roman" w:eastAsia="仿宋_GB2312" w:cs="Times New Roman"/>
          <w:b/>
          <w:bCs/>
          <w:color w:val="DF3621"/>
          <w:sz w:val="32"/>
          <w:szCs w:val="32"/>
        </w:rPr>
        <w:t>不得少于10个</w:t>
      </w:r>
      <w:r>
        <w:rPr>
          <w:rFonts w:hint="default" w:ascii="Times New Roman" w:hAnsi="Times New Roman" w:eastAsia="仿宋_GB2312" w:cs="Times New Roman"/>
          <w:sz w:val="32"/>
          <w:szCs w:val="32"/>
        </w:rPr>
        <w:t>。</w:t>
      </w:r>
    </w:p>
    <w:p w14:paraId="3F2FB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2.教学案例应能体现</w:t>
      </w:r>
      <w:r>
        <w:rPr>
          <w:rFonts w:hint="eastAsia" w:ascii="仿宋_GB2312" w:hAnsi="仿宋_GB2312" w:eastAsia="仿宋_GB2312" w:cs="仿宋_GB2312"/>
          <w:sz w:val="32"/>
          <w:szCs w:val="32"/>
        </w:rPr>
        <w:t>专业学位特点，反映相关行业对专业学位研究生课程教学的需求，对研究生的专业实践工作具有参考性和启发性。成果适合在本专业学位课程教学中运用，并可在相关专业范围内共享。</w:t>
      </w:r>
    </w:p>
    <w:p w14:paraId="72F85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3.案例素材应来源于生产建设、研究设计、经营管理、教育教学等实践领域，体现领域内重点问题，具有代表性、典型性、完整性、客观性、先进性和创新性。</w:t>
      </w:r>
    </w:p>
    <w:p w14:paraId="5BEE58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4.注重科学研究与教学案例相结合，理论与实践相结合，开发基于真实情境、符合案例教学要求、与国际接轨的高质量教学案例。</w:t>
      </w:r>
    </w:p>
    <w:p w14:paraId="6B4372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5.每个案例库设项目负责人1名，项目负责人为本单位在岗教师，</w:t>
      </w:r>
      <w:r>
        <w:rPr>
          <w:rFonts w:hint="default" w:ascii="Times New Roman" w:hAnsi="Times New Roman" w:eastAsia="仿宋_GB2312" w:cs="Times New Roman"/>
          <w:sz w:val="32"/>
          <w:szCs w:val="32"/>
          <w:highlight w:val="none"/>
        </w:rPr>
        <w:t>一般应具有副高级以上专业技术职务</w:t>
      </w:r>
      <w:r>
        <w:rPr>
          <w:rFonts w:hint="default" w:ascii="Times New Roman" w:hAnsi="Times New Roman" w:eastAsia="仿宋_GB2312" w:cs="Times New Roman"/>
          <w:sz w:val="32"/>
          <w:szCs w:val="32"/>
          <w:highlight w:val="none"/>
          <w:lang w:val="en-US" w:eastAsia="zh-CN"/>
        </w:rPr>
        <w:t>或具有博士学位</w:t>
      </w:r>
      <w:r>
        <w:rPr>
          <w:rFonts w:hint="eastAsia"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讲师以上</w:t>
      </w:r>
      <w:r>
        <w:rPr>
          <w:rFonts w:hint="default" w:ascii="Times New Roman" w:hAnsi="Times New Roman" w:eastAsia="仿宋_GB2312" w:cs="Times New Roman"/>
          <w:sz w:val="32"/>
          <w:szCs w:val="32"/>
          <w:highlight w:val="none"/>
        </w:rPr>
        <w:t>专业技术职务</w:t>
      </w:r>
      <w:r>
        <w:rPr>
          <w:rFonts w:hint="default" w:ascii="Times New Roman" w:hAnsi="Times New Roman" w:eastAsia="仿宋_GB2312" w:cs="Times New Roman"/>
          <w:sz w:val="32"/>
          <w:szCs w:val="32"/>
        </w:rPr>
        <w:t>，申报团队不少于3人，</w:t>
      </w:r>
      <w:r>
        <w:rPr>
          <w:rFonts w:hint="default" w:ascii="Times New Roman" w:hAnsi="Times New Roman" w:eastAsia="仿宋_GB2312" w:cs="Times New Roman"/>
          <w:b/>
          <w:bCs/>
          <w:color w:val="DF3621"/>
          <w:sz w:val="32"/>
          <w:szCs w:val="32"/>
        </w:rPr>
        <w:t>团队成员中应至少有1名具有高级职称的行业专家</w:t>
      </w:r>
      <w:r>
        <w:rPr>
          <w:rFonts w:hint="default" w:ascii="Times New Roman" w:hAnsi="Times New Roman" w:eastAsia="仿宋_GB2312" w:cs="Times New Roman"/>
          <w:sz w:val="32"/>
          <w:szCs w:val="32"/>
        </w:rPr>
        <w:t>。</w:t>
      </w:r>
    </w:p>
    <w:p w14:paraId="0522A6F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仿宋_GB2312" w:cs="Times New Roman"/>
          <w:b/>
          <w:bCs/>
          <w:color w:val="DF3621"/>
          <w:sz w:val="32"/>
          <w:szCs w:val="32"/>
          <w:lang w:val="en-US" w:eastAsia="zh-CN"/>
        </w:rPr>
      </w:pPr>
      <w:r>
        <w:rPr>
          <w:rFonts w:hint="eastAsia" w:ascii="Times New Roman" w:hAnsi="Times New Roman" w:eastAsia="仿宋_GB2312" w:cs="Times New Roman"/>
          <w:b/>
          <w:bCs/>
          <w:color w:val="DF3621"/>
          <w:sz w:val="32"/>
          <w:szCs w:val="32"/>
          <w:lang w:val="en-US" w:eastAsia="zh-CN"/>
        </w:rPr>
        <w:t>6</w:t>
      </w:r>
      <w:r>
        <w:rPr>
          <w:rFonts w:hint="default" w:ascii="Times New Roman" w:hAnsi="Times New Roman" w:eastAsia="仿宋_GB2312" w:cs="Times New Roman"/>
          <w:b/>
          <w:bCs/>
          <w:color w:val="DF3621"/>
          <w:sz w:val="32"/>
          <w:szCs w:val="32"/>
          <w:lang w:val="en-US" w:eastAsia="zh-CN"/>
        </w:rPr>
        <w:t>.</w:t>
      </w:r>
      <w:r>
        <w:rPr>
          <w:rFonts w:hint="default" w:ascii="Times New Roman" w:hAnsi="Times New Roman" w:eastAsia="仿宋_GB2312" w:cs="Times New Roman"/>
          <w:b/>
          <w:bCs/>
          <w:color w:val="DF3621"/>
          <w:sz w:val="32"/>
          <w:szCs w:val="32"/>
        </w:rPr>
        <w:t>主持校级</w:t>
      </w:r>
      <w:r>
        <w:rPr>
          <w:rFonts w:hint="eastAsia" w:ascii="Times New Roman" w:hAnsi="Times New Roman" w:eastAsia="仿宋_GB2312" w:cs="Times New Roman"/>
          <w:b/>
          <w:bCs/>
          <w:color w:val="DF3621"/>
          <w:sz w:val="32"/>
          <w:szCs w:val="32"/>
        </w:rPr>
        <w:t>专业学位研究生教学案例库</w:t>
      </w:r>
      <w:r>
        <w:rPr>
          <w:rFonts w:hint="default" w:ascii="Times New Roman" w:hAnsi="Times New Roman" w:eastAsia="仿宋_GB2312" w:cs="Times New Roman"/>
          <w:b/>
          <w:bCs/>
          <w:color w:val="DF3621"/>
          <w:sz w:val="32"/>
          <w:szCs w:val="32"/>
        </w:rPr>
        <w:t>未结题者，可参与省级项目申报，但不作校级项目立项</w:t>
      </w:r>
      <w:r>
        <w:rPr>
          <w:rFonts w:hint="eastAsia" w:ascii="Times New Roman" w:hAnsi="Times New Roman" w:eastAsia="仿宋_GB2312" w:cs="Times New Roman"/>
          <w:b/>
          <w:bCs/>
          <w:color w:val="DF3621"/>
          <w:sz w:val="32"/>
          <w:szCs w:val="32"/>
          <w:lang w:eastAsia="zh-CN"/>
        </w:rPr>
        <w:t>。</w:t>
      </w:r>
      <w:r>
        <w:rPr>
          <w:rFonts w:hint="eastAsia" w:ascii="Times New Roman" w:hAnsi="Times New Roman" w:eastAsia="仿宋_GB2312" w:cs="Times New Roman"/>
          <w:b/>
          <w:bCs/>
          <w:color w:val="DF3621"/>
          <w:sz w:val="32"/>
          <w:szCs w:val="32"/>
          <w:lang w:val="en-US" w:eastAsia="zh-CN"/>
        </w:rPr>
        <w:t>此次申报请一并按要求提交申报书等材料，请在汇总表备注中标明校级未结项。</w:t>
      </w:r>
    </w:p>
    <w:p w14:paraId="51CDD57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（三）建设周期及结题要求</w:t>
      </w:r>
    </w:p>
    <w:p w14:paraId="54BC3A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案例库建设期限原则上为2年。每个案例库建设项目结题时应至少提供</w:t>
      </w:r>
      <w:r>
        <w:rPr>
          <w:rFonts w:hint="default" w:ascii="Times New Roman" w:hAnsi="Times New Roman" w:eastAsia="仿宋_GB2312" w:cs="Times New Roman"/>
          <w:sz w:val="32"/>
          <w:szCs w:val="32"/>
          <w:lang w:val="en-US" w:eastAsia="zh-CN"/>
        </w:rPr>
        <w:t>10个</w:t>
      </w:r>
      <w:r>
        <w:rPr>
          <w:rFonts w:hint="eastAsia" w:ascii="Times New Roman" w:hAnsi="Times New Roman" w:eastAsia="仿宋_GB2312" w:cs="Times New Roman"/>
          <w:sz w:val="32"/>
          <w:szCs w:val="32"/>
          <w:lang w:val="en-US" w:eastAsia="zh-CN"/>
        </w:rPr>
        <w:t>原创性案例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每个教学案例不少于1课时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至少有1个被中国专业学位教学案例中心征集的案例。</w:t>
      </w:r>
    </w:p>
    <w:p w14:paraId="6F798BE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三、优质研究生课程培育项目</w:t>
      </w:r>
    </w:p>
    <w:p w14:paraId="5FD11E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（一）立项范围</w:t>
      </w:r>
    </w:p>
    <w:p w14:paraId="61E2F7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以我校开设的</w:t>
      </w:r>
      <w:r>
        <w:rPr>
          <w:rFonts w:hint="default" w:ascii="Times New Roman" w:hAnsi="Times New Roman" w:eastAsia="仿宋_GB2312" w:cs="Times New Roman"/>
          <w:sz w:val="32"/>
          <w:szCs w:val="32"/>
        </w:rPr>
        <w:t>硕士研究生学位课程、特色优势</w:t>
      </w:r>
      <w:r>
        <w:rPr>
          <w:rFonts w:hint="eastAsia" w:ascii="仿宋_GB2312" w:hAnsi="仿宋_GB2312" w:eastAsia="仿宋_GB2312" w:cs="仿宋_GB2312"/>
          <w:sz w:val="32"/>
          <w:szCs w:val="32"/>
        </w:rPr>
        <w:t>课程为主，体现对教育教学的示范作用。</w:t>
      </w:r>
    </w:p>
    <w:p w14:paraId="199C361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（二）立项条件</w:t>
      </w:r>
    </w:p>
    <w:p w14:paraId="14CBFB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1.基础条件。研究生教育优质课程建设，采取单门课程建设方式，充分考虑学科特色与专业分布及对教育教学的示范作用。</w:t>
      </w:r>
    </w:p>
    <w:p w14:paraId="59B9EE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2.师资队伍。申报课程须有一支结构合理、学养深厚、成果突出的优秀教学团队。每门课程设负责人 1 名，负责人为本校专任教师，具有副高级以上专业技术职务。每门课程配备 3 名以上教学经验丰富、教学特色鲜明的教师。积极支持校外指导教师参与优质课程建设。 </w:t>
      </w:r>
    </w:p>
    <w:p w14:paraId="1C7A9F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3.课程内容。课程内容能够体现本专业研究生培养目标，反映学科领域最新研究成果；合理分配授课学时，注重基础理论、</w:t>
      </w:r>
    </w:p>
    <w:p w14:paraId="5935261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方法论与学科前沿问题的结合；积极整合优秀教改成果，充分</w:t>
      </w:r>
      <w:r>
        <w:rPr>
          <w:rFonts w:hint="eastAsia" w:ascii="Times New Roman" w:hAnsi="Times New Roman" w:eastAsia="仿宋_GB2312" w:cs="Times New Roman"/>
          <w:sz w:val="32"/>
          <w:szCs w:val="32"/>
          <w:lang w:val="en-US" w:eastAsia="zh-CN"/>
        </w:rPr>
        <w:t>体现</w:t>
      </w:r>
      <w:r>
        <w:rPr>
          <w:rFonts w:hint="default" w:ascii="Times New Roman" w:hAnsi="Times New Roman" w:eastAsia="仿宋_GB2312" w:cs="Times New Roman"/>
          <w:sz w:val="32"/>
          <w:szCs w:val="32"/>
          <w:lang w:val="en-US" w:eastAsia="zh-CN"/>
        </w:rPr>
        <w:t>时代发展对人才培养提出的新要求。</w:t>
      </w:r>
    </w:p>
    <w:p w14:paraId="04BE6A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教学方法。充分利用现代信息技术，创新授课方式和教学方法，注重教与学相结合，教与研相结合，理论与实践相结合。实行探究式、讨论式、互动式、案例式、专题式教学，突出研究生自主学习及科学研究能力培养。</w:t>
      </w:r>
    </w:p>
    <w:p w14:paraId="38E78C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5.教材建设。广泛吸收借鉴国内优秀教材，积极引进高质量外文原版教材，鼓励提倡使用自编特色教材。</w:t>
      </w:r>
    </w:p>
    <w:p w14:paraId="26064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6.课程资源。注重选用国际一流学术期刊的原始文献，开发优质教学课件，组建配套的电子教案、电子图书、试题库、资料库、案例库等，鼓励</w:t>
      </w:r>
      <w:r>
        <w:rPr>
          <w:rFonts w:hint="eastAsia" w:ascii="仿宋" w:hAnsi="仿宋" w:eastAsia="仿宋" w:cs="仿宋"/>
          <w:sz w:val="32"/>
          <w:szCs w:val="32"/>
          <w:lang w:val="en-US" w:eastAsia="zh-CN"/>
        </w:rPr>
        <w:t>建设“在线课程教学网络平台”</w:t>
      </w:r>
      <w:r>
        <w:rPr>
          <w:rFonts w:hint="default" w:ascii="Times New Roman" w:hAnsi="Times New Roman" w:eastAsia="仿宋_GB2312" w:cs="Times New Roman"/>
          <w:sz w:val="32"/>
          <w:szCs w:val="32"/>
          <w:lang w:val="en-US" w:eastAsia="zh-CN"/>
        </w:rPr>
        <w:t xml:space="preserve">，促进课程资源共享。 </w:t>
      </w:r>
    </w:p>
    <w:p w14:paraId="7DD9EC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7.课程管理。构建规范的研究生课程与教学管理体系，建立完整、规范的教学档案，包括课程简介、教学大纲、授课计划、教案或课件等；采用课程考试、课程论文、社会调研、作品设计等多种考核方式，全面检测、评价研究生的学习过程和学习效果。 </w:t>
      </w:r>
    </w:p>
    <w:p w14:paraId="4A76E8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8.教学评价。构建科学性、可行性、客观性、导向性的研究生教学质量评估体系。同行评教、学生评教、单位评教等材料真实可靠，能够全面反映课程教学和研究生学习情况，课程教学评价结果连续三年优良</w:t>
      </w:r>
      <w:r>
        <w:rPr>
          <w:rFonts w:hint="eastAsia" w:ascii="Times New Roman" w:hAnsi="Times New Roman" w:eastAsia="仿宋_GB2312" w:cs="Times New Roman"/>
          <w:sz w:val="32"/>
          <w:szCs w:val="32"/>
          <w:lang w:val="en-US" w:eastAsia="zh-CN"/>
        </w:rPr>
        <w:t>。</w:t>
      </w:r>
    </w:p>
    <w:p w14:paraId="4D4D18F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w:t>
      </w:r>
    </w:p>
    <w:p w14:paraId="439EBC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red"/>
          <w:lang w:val="en-US" w:eastAsia="zh-CN"/>
        </w:rPr>
      </w:pPr>
      <w:r>
        <w:rPr>
          <w:rFonts w:hint="default" w:ascii="Times New Roman" w:hAnsi="Times New Roman" w:eastAsia="仿宋_GB2312" w:cs="Times New Roman"/>
          <w:sz w:val="32"/>
          <w:szCs w:val="32"/>
        </w:rPr>
        <w:t>研究生教育</w:t>
      </w:r>
      <w:r>
        <w:rPr>
          <w:rFonts w:hint="default" w:ascii="Times New Roman" w:hAnsi="Times New Roman" w:eastAsia="仿宋_GB2312" w:cs="Times New Roman"/>
          <w:sz w:val="32"/>
          <w:szCs w:val="32"/>
          <w:lang w:val="en-US" w:eastAsia="zh-CN"/>
        </w:rPr>
        <w:t>优质课程建设</w:t>
      </w:r>
      <w:r>
        <w:rPr>
          <w:rFonts w:hint="default" w:ascii="Times New Roman" w:hAnsi="Times New Roman" w:eastAsia="仿宋_GB2312" w:cs="Times New Roman"/>
          <w:sz w:val="32"/>
          <w:szCs w:val="32"/>
        </w:rPr>
        <w:t>周期一般为 2 年。</w:t>
      </w:r>
    </w:p>
    <w:p w14:paraId="2E49593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四、研究生课程思政示范项目</w:t>
      </w:r>
    </w:p>
    <w:p w14:paraId="66CF25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申报</w:t>
      </w:r>
      <w:r>
        <w:rPr>
          <w:rFonts w:hint="eastAsia" w:ascii="楷体_GB2312" w:hAnsi="楷体_GB2312" w:eastAsia="楷体_GB2312" w:cs="楷体_GB2312"/>
          <w:b/>
          <w:bCs/>
          <w:sz w:val="32"/>
          <w:szCs w:val="32"/>
        </w:rPr>
        <w:t>范围</w:t>
      </w:r>
    </w:p>
    <w:p w14:paraId="20C0FD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Times New Roman" w:hAnsi="Times New Roman" w:eastAsia="仿宋_GB2312" w:cs="Times New Roman"/>
          <w:kern w:val="2"/>
          <w:sz w:val="32"/>
          <w:szCs w:val="32"/>
          <w:lang w:val="en-US" w:eastAsia="zh-CN" w:bidi="ar-SA"/>
        </w:rPr>
        <w:t>纳入人才培养方案，实施学分管理，并已经实际开设的课程。</w:t>
      </w:r>
    </w:p>
    <w:p w14:paraId="47815791">
      <w:pPr>
        <w:pStyle w:val="2"/>
        <w:spacing w:line="360" w:lineRule="auto"/>
        <w:ind w:firstLine="643" w:firstLineChars="200"/>
        <w:jc w:val="both"/>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（二）立项条件</w:t>
      </w:r>
    </w:p>
    <w:p w14:paraId="44848081">
      <w:pPr>
        <w:pStyle w:val="2"/>
        <w:spacing w:line="360" w:lineRule="auto"/>
        <w:ind w:firstLine="640" w:firstLineChars="20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1.课程准确把握“坚定学生理想信念，教育学生爱党、爱国、爱社会主义、爱人民、爱集体”主线，结合所在学科专业、所属课程类型的育人要求和特点，深入挖掘蕴含的思政教育资源，优化课程思政内容供给。</w:t>
      </w:r>
    </w:p>
    <w:p w14:paraId="6A9D3A90">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2.课程注重体现学校办学定位和专业特色，注重价值塑造、知识传授与能力培养相统一，科学设计课程目标和教案课件，将思政教育有机融入课程教学，达到润物无声的育人效果。</w:t>
      </w:r>
    </w:p>
    <w:p w14:paraId="4A632F0C">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3.课程注重课程思政建设模式创新，教学内容体现思想性、前沿性与时代性，教学方法体现先进性、互动性与针对性，形成可供同类课程借鉴共享的经验、成果和模式。</w:t>
      </w:r>
    </w:p>
    <w:p w14:paraId="427B86FF">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课程可由一名教师讲授，也可由教学团队共同讲授。课程授课教师政治立场坚定，师德师风良好。课程负责人具有高级职称，能够准确把握本课程开展课程思政建设的方向和重点，并融入课程教学全过程。课程教学团队人员结构合理，任务分工明确，集体教研制度完善且有效实施，经常性开展课程思政建设教学研究和交流，课程思政建设整体水平高。</w:t>
      </w:r>
    </w:p>
    <w:p w14:paraId="61CAC3B3">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5.课程考核方式和评价办法完善，育人效果显著，学生评教结果优秀，校内外同行专家评价良好，形成较高水平的课程思政展示成果，具有良好的示范辐射作用。</w:t>
      </w:r>
    </w:p>
    <w:p w14:paraId="7E783C4B">
      <w:pPr>
        <w:pStyle w:val="10"/>
        <w:spacing w:line="580" w:lineRule="exact"/>
        <w:ind w:firstLine="640" w:firstLineChars="200"/>
        <w:jc w:val="left"/>
        <w:rPr>
          <w:rFonts w:hint="eastAsia" w:ascii="仿宋_GB2312" w:hAnsi="楷体_GB2312" w:eastAsia="仿宋_GB2312" w:cs="楷体_GB2312"/>
          <w:spacing w:val="0"/>
          <w:sz w:val="32"/>
          <w:szCs w:val="32"/>
        </w:rPr>
      </w:pPr>
      <w:r>
        <w:rPr>
          <w:rFonts w:hint="eastAsia" w:ascii="仿宋_GB2312" w:hAnsi="楷体_GB2312" w:eastAsia="仿宋_GB2312" w:cs="楷体_GB2312"/>
          <w:spacing w:val="0"/>
          <w:sz w:val="32"/>
          <w:szCs w:val="32"/>
          <w:lang w:val="en-US" w:eastAsia="zh-CN"/>
        </w:rPr>
        <w:t>6.</w:t>
      </w:r>
      <w:r>
        <w:rPr>
          <w:rFonts w:hint="eastAsia" w:ascii="仿宋_GB2312" w:hAnsi="楷体_GB2312" w:eastAsia="仿宋_GB2312" w:cs="楷体_GB2312"/>
          <w:spacing w:val="0"/>
          <w:sz w:val="32"/>
          <w:szCs w:val="32"/>
        </w:rPr>
        <w:t>课程要以培养高层次创新人才为核心，突出科研育人。</w:t>
      </w:r>
    </w:p>
    <w:p w14:paraId="14D56DB3">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五、省级研究生联合培养基地</w:t>
      </w:r>
    </w:p>
    <w:p w14:paraId="421D7E52">
      <w:pPr>
        <w:keepNext w:val="0"/>
        <w:keepLines w:val="0"/>
        <w:widowControl/>
        <w:suppressLineNumbers w:val="0"/>
        <w:ind w:firstLine="640" w:firstLineChars="200"/>
        <w:jc w:val="left"/>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具备良好的合作基础和明确的合作计划，具有高水平的研究实践平台，满足研究生开展创新实践、技术研发、社会调查、数据分析、案例分析等需求；充足的校外导师队伍和专门的管理人员等。具体要求见附件5-2《山东省研究生联合培养基地管理办法》。</w:t>
      </w:r>
    </w:p>
    <w:p w14:paraId="44AE972E">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六、立项数量及资助经费</w:t>
      </w:r>
    </w:p>
    <w:p w14:paraId="358A80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研</w:t>
      </w:r>
      <w:r>
        <w:rPr>
          <w:rFonts w:hint="eastAsia" w:ascii="仿宋_GB2312" w:hAnsi="仿宋_GB2312" w:eastAsia="仿宋_GB2312" w:cs="仿宋_GB2312"/>
          <w:sz w:val="32"/>
          <w:szCs w:val="32"/>
        </w:rPr>
        <w:t>究生教育教学改革研究项目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专业学位研究生教学案例库</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项目立项数根据申报情况</w:t>
      </w:r>
      <w:r>
        <w:rPr>
          <w:rFonts w:hint="eastAsia" w:ascii="仿宋_GB2312" w:hAnsi="仿宋_GB2312" w:eastAsia="仿宋_GB2312" w:cs="仿宋_GB2312"/>
          <w:sz w:val="32"/>
          <w:szCs w:val="32"/>
          <w:lang w:val="en-US" w:eastAsia="zh-CN"/>
        </w:rPr>
        <w:t>确定，本年度重点支持教学案例库建设项目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立</w:t>
      </w:r>
      <w:r>
        <w:rPr>
          <w:rFonts w:hint="eastAsia" w:ascii="仿宋_GB2312" w:hAnsi="仿宋_GB2312" w:eastAsia="仿宋_GB2312" w:cs="仿宋_GB2312"/>
          <w:sz w:val="32"/>
          <w:szCs w:val="32"/>
          <w:highlight w:val="none"/>
          <w:lang w:val="en-US" w:eastAsia="zh-CN"/>
        </w:rPr>
        <w:t>项项目均</w:t>
      </w:r>
      <w:r>
        <w:rPr>
          <w:rFonts w:hint="eastAsia" w:ascii="仿宋_GB2312" w:hAnsi="仿宋_GB2312" w:eastAsia="仿宋_GB2312" w:cs="仿宋_GB2312"/>
          <w:sz w:val="32"/>
          <w:szCs w:val="32"/>
          <w:highlight w:val="none"/>
        </w:rPr>
        <w:t>提供经费</w:t>
      </w:r>
      <w:r>
        <w:rPr>
          <w:rFonts w:hint="eastAsia" w:ascii="仿宋_GB2312" w:hAnsi="仿宋_GB2312" w:eastAsia="仿宋_GB2312" w:cs="仿宋_GB2312"/>
          <w:sz w:val="32"/>
          <w:szCs w:val="32"/>
          <w:highlight w:val="none"/>
          <w:lang w:val="en-US" w:eastAsia="zh-CN"/>
        </w:rPr>
        <w:t>支持</w:t>
      </w:r>
      <w:r>
        <w:rPr>
          <w:rFonts w:hint="eastAsia" w:ascii="仿宋_GB2312" w:hAnsi="仿宋_GB2312" w:eastAsia="仿宋_GB2312" w:cs="仿宋_GB2312"/>
          <w:sz w:val="32"/>
          <w:szCs w:val="32"/>
        </w:rPr>
        <w:t>，分两年拨付，列入下年度经费预算。</w:t>
      </w:r>
      <w:r>
        <w:rPr>
          <w:rFonts w:hint="eastAsia" w:ascii="仿宋_GB2312" w:hAnsi="仿宋_GB2312" w:eastAsia="仿宋_GB2312" w:cs="仿宋_GB2312"/>
          <w:b/>
          <w:bCs/>
          <w:sz w:val="32"/>
          <w:szCs w:val="32"/>
        </w:rPr>
        <w:t>该项工作同时也为省级项目</w:t>
      </w:r>
      <w:r>
        <w:rPr>
          <w:rFonts w:hint="eastAsia" w:ascii="仿宋_GB2312" w:hAnsi="仿宋_GB2312" w:eastAsia="仿宋_GB2312" w:cs="仿宋_GB2312"/>
          <w:b/>
          <w:bCs/>
          <w:sz w:val="32"/>
          <w:szCs w:val="32"/>
          <w:lang w:val="en-US" w:eastAsia="zh-CN"/>
        </w:rPr>
        <w:t>申报</w:t>
      </w:r>
      <w:r>
        <w:rPr>
          <w:rFonts w:hint="eastAsia" w:ascii="仿宋_GB2312" w:hAnsi="仿宋_GB2312" w:eastAsia="仿宋_GB2312" w:cs="仿宋_GB2312"/>
          <w:b/>
          <w:bCs/>
          <w:sz w:val="32"/>
          <w:szCs w:val="32"/>
        </w:rPr>
        <w:t>做前期准备，</w:t>
      </w:r>
      <w:r>
        <w:rPr>
          <w:rFonts w:hint="eastAsia" w:ascii="仿宋_GB2312" w:hAnsi="仿宋_GB2312" w:eastAsia="仿宋_GB2312" w:cs="仿宋_GB2312"/>
          <w:b/>
          <w:bCs/>
          <w:sz w:val="32"/>
          <w:szCs w:val="32"/>
        </w:rPr>
        <w:t>校级项目转立为省级项目者，学校</w:t>
      </w:r>
      <w:r>
        <w:rPr>
          <w:rFonts w:hint="eastAsia" w:ascii="仿宋_GB2312" w:hAnsi="仿宋_GB2312" w:eastAsia="仿宋_GB2312" w:cs="仿宋_GB2312"/>
          <w:b/>
          <w:bCs/>
          <w:sz w:val="32"/>
          <w:szCs w:val="32"/>
          <w:lang w:eastAsia="zh-CN"/>
        </w:rPr>
        <w:t>适当增加</w:t>
      </w:r>
      <w:r>
        <w:rPr>
          <w:rFonts w:hint="eastAsia" w:ascii="仿宋_GB2312" w:hAnsi="仿宋_GB2312" w:eastAsia="仿宋_GB2312" w:cs="仿宋_GB2312"/>
          <w:b/>
          <w:bCs/>
          <w:sz w:val="32"/>
          <w:szCs w:val="32"/>
        </w:rPr>
        <w:t>经费</w:t>
      </w:r>
      <w:r>
        <w:rPr>
          <w:rFonts w:hint="eastAsia" w:ascii="仿宋_GB2312" w:hAnsi="仿宋_GB2312" w:eastAsia="仿宋_GB2312" w:cs="仿宋_GB2312"/>
          <w:sz w:val="32"/>
          <w:szCs w:val="32"/>
        </w:rPr>
        <w:t>。</w:t>
      </w:r>
      <w:bookmarkStart w:id="1" w:name="_GoBack"/>
      <w:bookmarkEnd w:id="1"/>
    </w:p>
    <w:p w14:paraId="3AF30E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优质研究生课程培育项目、研究生课程思政示范项目、省级研究生联合培养基地为省级项目申报做前期准备培育工作，今年不立项校级项目。</w:t>
      </w:r>
    </w:p>
    <w:p w14:paraId="678CD8D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七、申报评审程序</w:t>
      </w:r>
    </w:p>
    <w:p w14:paraId="283789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1.个人申请，向所在单位提交申报材料</w:t>
      </w:r>
      <w:r>
        <w:rPr>
          <w:rFonts w:hint="default" w:ascii="Times New Roman" w:hAnsi="Times New Roman" w:eastAsia="仿宋_GB2312" w:cs="Times New Roman"/>
          <w:sz w:val="32"/>
          <w:szCs w:val="32"/>
          <w:lang w:eastAsia="zh-CN"/>
        </w:rPr>
        <w:t>；</w:t>
      </w:r>
    </w:p>
    <w:p w14:paraId="3F2B5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2.单位对申报材料进行初审，审核合格后统一报研究生处</w:t>
      </w:r>
      <w:r>
        <w:rPr>
          <w:rFonts w:hint="default" w:ascii="Times New Roman" w:hAnsi="Times New Roman" w:eastAsia="仿宋_GB2312" w:cs="Times New Roman"/>
          <w:sz w:val="32"/>
          <w:szCs w:val="32"/>
          <w:lang w:eastAsia="zh-CN"/>
        </w:rPr>
        <w:t>；</w:t>
      </w:r>
    </w:p>
    <w:p w14:paraId="526845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3.学校组织专家评审，择优立项</w:t>
      </w:r>
      <w:r>
        <w:rPr>
          <w:rFonts w:hint="default" w:ascii="Times New Roman" w:hAnsi="Times New Roman" w:eastAsia="仿宋_GB2312" w:cs="Times New Roman"/>
          <w:sz w:val="32"/>
          <w:szCs w:val="32"/>
          <w:lang w:eastAsia="zh-CN"/>
        </w:rPr>
        <w:t>；</w:t>
      </w:r>
    </w:p>
    <w:p w14:paraId="7A571E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4.对拟立项建设的项目进行网上公示，公示期不少于5个工作日</w:t>
      </w:r>
      <w:r>
        <w:rPr>
          <w:rFonts w:hint="default" w:ascii="Times New Roman" w:hAnsi="Times New Roman" w:eastAsia="仿宋_GB2312" w:cs="Times New Roman"/>
          <w:sz w:val="32"/>
          <w:szCs w:val="32"/>
          <w:lang w:eastAsia="zh-CN"/>
        </w:rPr>
        <w:t>；</w:t>
      </w:r>
    </w:p>
    <w:p w14:paraId="2A0FDE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5.研究生处下文公布。</w:t>
      </w:r>
    </w:p>
    <w:p w14:paraId="5D1C2D9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八、项目管理</w:t>
      </w:r>
    </w:p>
    <w:p w14:paraId="34B4B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研究生教育质量提升计划立项项目实行项目责任制。项目负责人全面负责项目的组织实施，接受研究生处和培养单位对项目执行情况的监督检查。项目实行中期检查和终期结项制，中期检查不合格者停止拨付研究经费，终期结项不合格者向全校通报并</w:t>
      </w:r>
      <w:r>
        <w:rPr>
          <w:rFonts w:hint="default" w:ascii="Times New Roman" w:hAnsi="Times New Roman" w:eastAsia="仿宋_GB2312" w:cs="Times New Roman"/>
          <w:sz w:val="32"/>
          <w:szCs w:val="32"/>
        </w:rPr>
        <w:t>暂停</w:t>
      </w:r>
      <w:r>
        <w:rPr>
          <w:rFonts w:hint="default" w:ascii="Times New Roman" w:hAnsi="Times New Roman" w:eastAsia="仿宋_GB2312" w:cs="Times New Roman"/>
          <w:sz w:val="32"/>
          <w:szCs w:val="32"/>
          <w:lang w:val="en-US" w:eastAsia="zh-CN"/>
        </w:rPr>
        <w:t>主持人</w:t>
      </w:r>
      <w:r>
        <w:rPr>
          <w:rFonts w:hint="default" w:ascii="Times New Roman" w:hAnsi="Times New Roman" w:eastAsia="仿宋_GB2312" w:cs="Times New Roman"/>
          <w:sz w:val="32"/>
          <w:szCs w:val="32"/>
        </w:rPr>
        <w:t>该类项目申报资格5年。</w:t>
      </w:r>
    </w:p>
    <w:p w14:paraId="14509CE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Chars="20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九、其他</w:t>
      </w:r>
    </w:p>
    <w:p w14:paraId="7D3B1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1.请各单位于</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rPr>
        <w:t>之前完成材料提交。</w:t>
      </w:r>
    </w:p>
    <w:p w14:paraId="61E01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2.申报书、汇总表需分别报送电子版+纸质版。</w:t>
      </w:r>
    </w:p>
    <w:p w14:paraId="5804B8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电子版：</w:t>
      </w:r>
      <w:r>
        <w:rPr>
          <w:rFonts w:hint="eastAsia" w:ascii="Times New Roman" w:hAnsi="Times New Roman" w:eastAsia="仿宋_GB2312" w:cs="Times New Roman"/>
          <w:sz w:val="32"/>
          <w:szCs w:val="32"/>
          <w:lang w:val="en-US" w:eastAsia="zh-CN"/>
        </w:rPr>
        <w:t>完整版、匿名版申报书各1份，汇</w:t>
      </w:r>
      <w:r>
        <w:rPr>
          <w:rFonts w:hint="eastAsia" w:ascii="Times New Roman" w:hAnsi="Times New Roman" w:eastAsia="仿宋_GB2312" w:cs="Times New Roman"/>
          <w:color w:val="auto"/>
          <w:sz w:val="32"/>
          <w:szCs w:val="32"/>
          <w:u w:val="none"/>
          <w:lang w:val="en-US" w:eastAsia="zh-CN"/>
        </w:rPr>
        <w:t>总表</w:t>
      </w:r>
      <w:r>
        <w:rPr>
          <w:rFonts w:hint="default" w:ascii="Times New Roman" w:hAnsi="Times New Roman" w:eastAsia="仿宋_GB2312" w:cs="Times New Roman"/>
          <w:color w:val="auto"/>
          <w:sz w:val="32"/>
          <w:szCs w:val="32"/>
          <w:u w:val="none"/>
        </w:rPr>
        <w:fldChar w:fldCharType="begin"/>
      </w:r>
      <w:r>
        <w:rPr>
          <w:rFonts w:hint="default" w:ascii="Times New Roman" w:hAnsi="Times New Roman" w:eastAsia="仿宋_GB2312" w:cs="Times New Roman"/>
          <w:color w:val="auto"/>
          <w:sz w:val="32"/>
          <w:szCs w:val="32"/>
          <w:u w:val="none"/>
        </w:rPr>
        <w:instrText xml:space="preserve"> HYPERLINK "mailto:各1份，发送至yjscbgs@126.com；" </w:instrText>
      </w:r>
      <w:r>
        <w:rPr>
          <w:rFonts w:hint="default" w:ascii="Times New Roman" w:hAnsi="Times New Roman" w:eastAsia="仿宋_GB2312" w:cs="Times New Roman"/>
          <w:color w:val="auto"/>
          <w:sz w:val="32"/>
          <w:szCs w:val="32"/>
          <w:u w:val="none"/>
        </w:rPr>
        <w:fldChar w:fldCharType="separate"/>
      </w:r>
      <w:r>
        <w:rPr>
          <w:rStyle w:val="9"/>
          <w:rFonts w:hint="default" w:ascii="Times New Roman" w:hAnsi="Times New Roman" w:eastAsia="仿宋_GB2312" w:cs="Times New Roman"/>
          <w:color w:val="auto"/>
          <w:sz w:val="32"/>
          <w:szCs w:val="32"/>
          <w:u w:val="none"/>
        </w:rPr>
        <w:t>1份</w:t>
      </w:r>
      <w:r>
        <w:rPr>
          <w:rStyle w:val="9"/>
          <w:rFonts w:hint="eastAsia" w:ascii="Times New Roman" w:hAnsi="Times New Roman" w:eastAsia="仿宋_GB2312" w:cs="Times New Roman"/>
          <w:color w:val="auto"/>
          <w:sz w:val="32"/>
          <w:szCs w:val="32"/>
          <w:u w:val="none"/>
          <w:lang w:eastAsia="zh-CN"/>
        </w:rPr>
        <w:t>（</w:t>
      </w:r>
      <w:r>
        <w:rPr>
          <w:rStyle w:val="9"/>
          <w:rFonts w:hint="eastAsia" w:ascii="Times New Roman" w:hAnsi="Times New Roman" w:eastAsia="仿宋_GB2312" w:cs="Times New Roman"/>
          <w:b/>
          <w:bCs/>
          <w:color w:val="DF3621"/>
          <w:sz w:val="32"/>
          <w:szCs w:val="32"/>
          <w:highlight w:val="none"/>
          <w:u w:val="none"/>
          <w:lang w:val="en-US" w:eastAsia="zh-CN"/>
        </w:rPr>
        <w:t>汇总表内序号为申报单位推荐排序</w:t>
      </w:r>
      <w:r>
        <w:rPr>
          <w:rStyle w:val="9"/>
          <w:rFonts w:hint="eastAsia" w:ascii="Times New Roman" w:hAnsi="Times New Roman" w:eastAsia="仿宋_GB2312" w:cs="Times New Roman"/>
          <w:color w:val="auto"/>
          <w:sz w:val="32"/>
          <w:szCs w:val="32"/>
          <w:u w:val="none"/>
          <w:lang w:eastAsia="zh-CN"/>
        </w:rPr>
        <w:t>）</w:t>
      </w:r>
      <w:r>
        <w:rPr>
          <w:rStyle w:val="9"/>
          <w:rFonts w:hint="default" w:ascii="Times New Roman" w:hAnsi="Times New Roman" w:eastAsia="仿宋_GB2312" w:cs="Times New Roman"/>
          <w:color w:val="auto"/>
          <w:sz w:val="32"/>
          <w:szCs w:val="32"/>
          <w:u w:val="none"/>
        </w:rPr>
        <w:t>，发送至yjscbgs@126.com；</w:t>
      </w:r>
      <w:r>
        <w:rPr>
          <w:rFonts w:hint="default" w:ascii="Times New Roman" w:hAnsi="Times New Roman" w:eastAsia="仿宋_GB2312" w:cs="Times New Roman"/>
          <w:color w:val="auto"/>
          <w:sz w:val="32"/>
          <w:szCs w:val="32"/>
          <w:u w:val="none"/>
        </w:rPr>
        <w:fldChar w:fldCharType="end"/>
      </w:r>
    </w:p>
    <w:p w14:paraId="1D657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纸质版：</w:t>
      </w:r>
      <w:r>
        <w:rPr>
          <w:rFonts w:hint="eastAsia" w:ascii="Times New Roman" w:hAnsi="Times New Roman" w:eastAsia="仿宋_GB2312" w:cs="Times New Roman"/>
          <w:sz w:val="32"/>
          <w:szCs w:val="32"/>
          <w:lang w:val="en-US" w:eastAsia="zh-CN"/>
        </w:rPr>
        <w:t>完整版</w:t>
      </w:r>
      <w:r>
        <w:rPr>
          <w:rFonts w:hint="default" w:ascii="Times New Roman" w:hAnsi="Times New Roman" w:eastAsia="仿宋_GB2312" w:cs="Times New Roman"/>
          <w:sz w:val="32"/>
          <w:szCs w:val="32"/>
        </w:rPr>
        <w:t>申报书、汇总表（</w:t>
      </w:r>
      <w:r>
        <w:rPr>
          <w:rFonts w:hint="eastAsia" w:ascii="Times New Roman" w:hAnsi="Times New Roman" w:eastAsia="仿宋_GB2312" w:cs="Times New Roman"/>
          <w:sz w:val="32"/>
          <w:szCs w:val="32"/>
          <w:lang w:val="en-US" w:eastAsia="zh-CN"/>
        </w:rPr>
        <w:t>均需负责人</w:t>
      </w:r>
      <w:r>
        <w:rPr>
          <w:rFonts w:hint="default" w:ascii="Times New Roman" w:hAnsi="Times New Roman" w:eastAsia="仿宋_GB2312" w:cs="Times New Roman"/>
          <w:sz w:val="32"/>
          <w:szCs w:val="32"/>
        </w:rPr>
        <w:t>签字并加盖单位公章）各1份</w:t>
      </w:r>
      <w:r>
        <w:rPr>
          <w:rFonts w:hint="eastAsia" w:ascii="仿宋_GB2312" w:hAnsi="仿宋_GB2312" w:eastAsia="仿宋_GB2312" w:cs="仿宋_GB2312"/>
          <w:sz w:val="32"/>
          <w:szCs w:val="32"/>
        </w:rPr>
        <w:t>，提交至研究生处培养办公室。</w:t>
      </w:r>
    </w:p>
    <w:p w14:paraId="72EEB694">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仿宋_GB2312" w:hAnsi="仿宋_GB2312" w:eastAsia="仿宋_GB2312" w:cs="仿宋_GB2312"/>
          <w:sz w:val="32"/>
          <w:szCs w:val="32"/>
        </w:rPr>
      </w:pPr>
    </w:p>
    <w:p w14:paraId="3425BECA">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联系人：张茜茜</w:t>
      </w:r>
      <w:r>
        <w:rPr>
          <w:rFonts w:hint="eastAsia" w:ascii="仿宋_GB2312" w:hAnsi="仿宋_GB2312" w:eastAsia="仿宋_GB2312" w:cs="仿宋_GB2312"/>
          <w:sz w:val="32"/>
          <w:szCs w:val="32"/>
          <w:lang w:val="en-US" w:eastAsia="zh-CN"/>
        </w:rPr>
        <w:t xml:space="preserve">  </w:t>
      </w:r>
    </w:p>
    <w:p w14:paraId="28E80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  话：0543-3095916（86916）</w:t>
      </w:r>
    </w:p>
    <w:p w14:paraId="39D90A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办公地点：11#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417</w:t>
      </w:r>
      <w:r>
        <w:rPr>
          <w:rFonts w:hint="eastAsia" w:ascii="Times New Roman" w:hAnsi="Times New Roman" w:eastAsia="仿宋_GB2312" w:cs="Times New Roman"/>
          <w:sz w:val="32"/>
          <w:szCs w:val="32"/>
          <w:lang w:val="en-US" w:eastAsia="zh-CN"/>
        </w:rPr>
        <w:t>-1</w:t>
      </w:r>
    </w:p>
    <w:p w14:paraId="450D92CF">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研究生处</w:t>
      </w:r>
    </w:p>
    <w:p w14:paraId="5BF9C9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年9月</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日</w:t>
      </w:r>
    </w:p>
    <w:sectPr>
      <w:footerReference r:id="rId3" w:type="default"/>
      <w:pgSz w:w="11906" w:h="16838"/>
      <w:pgMar w:top="2098" w:right="1474" w:bottom="1984" w:left="1587" w:header="992" w:footer="1587"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FF9A39-2B70-4711-BC4D-E38A69B429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5117C3F-CCC1-4442-92CD-50E7C952C82B}"/>
  </w:font>
  <w:font w:name="华文中宋">
    <w:panose1 w:val="02010600040101010101"/>
    <w:charset w:val="86"/>
    <w:family w:val="auto"/>
    <w:pitch w:val="default"/>
    <w:sig w:usb0="00000287" w:usb1="080F0000" w:usb2="00000000" w:usb3="00000000" w:csb0="0004009F" w:csb1="DFD70000"/>
    <w:embedRegular r:id="rId3" w:fontKey="{B2626333-1FCB-463F-B429-1FF9092CE4B8}"/>
  </w:font>
  <w:font w:name="仿宋_GB2312">
    <w:altName w:val="仿宋"/>
    <w:panose1 w:val="02010609030001010101"/>
    <w:charset w:val="86"/>
    <w:family w:val="auto"/>
    <w:pitch w:val="default"/>
    <w:sig w:usb0="00000000" w:usb1="00000000" w:usb2="00000000" w:usb3="00000000" w:csb0="00040000" w:csb1="00000000"/>
    <w:embedRegular r:id="rId4" w:fontKey="{7E958778-5118-42AB-AEB7-F9129B3A1D18}"/>
  </w:font>
  <w:font w:name="楷体">
    <w:panose1 w:val="02010609060101010101"/>
    <w:charset w:val="86"/>
    <w:family w:val="auto"/>
    <w:pitch w:val="default"/>
    <w:sig w:usb0="800002BF" w:usb1="38CF7CFA" w:usb2="00000016" w:usb3="00000000" w:csb0="00040001" w:csb1="00000000"/>
    <w:embedRegular r:id="rId5" w:fontKey="{F6943A02-3E4B-4C9C-8150-495385D7B157}"/>
  </w:font>
  <w:font w:name="楷体_GB2312">
    <w:panose1 w:val="02010609030101010101"/>
    <w:charset w:val="86"/>
    <w:family w:val="auto"/>
    <w:pitch w:val="default"/>
    <w:sig w:usb0="00000001" w:usb1="080E0000" w:usb2="00000000" w:usb3="00000000" w:csb0="00040000" w:csb1="00000000"/>
    <w:embedRegular r:id="rId6" w:fontKey="{A50638E3-F1BC-4E59-9CC9-2EB759F5DF0A}"/>
  </w:font>
  <w:font w:name="仿宋">
    <w:panose1 w:val="02010609060101010101"/>
    <w:charset w:val="86"/>
    <w:family w:val="auto"/>
    <w:pitch w:val="default"/>
    <w:sig w:usb0="800002BF" w:usb1="38CF7CFA" w:usb2="00000016" w:usb3="00000000" w:csb0="00040001" w:csb1="00000000"/>
    <w:embedRegular r:id="rId7" w:fontKey="{220A68D7-E5A6-43AD-908D-D9FDE1B0EE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8CE54">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097915"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097915" cy="1828800"/>
                      </a:xfrm>
                      <a:prstGeom prst="rect">
                        <a:avLst/>
                      </a:prstGeom>
                      <a:ln>
                        <a:noFill/>
                      </a:ln>
                    </wps:spPr>
                    <wps:txbx>
                      <w:txbxContent>
                        <w:p w14:paraId="69638C86">
                          <w:pPr>
                            <w:pStyle w:val="3"/>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square" lIns="0" tIns="0" rIns="0" bIns="0" anchor="t" upright="0">
                      <a:spAutoFit/>
                    </wps:bodyPr>
                  </wps:wsp>
                </a:graphicData>
              </a:graphic>
            </wp:anchor>
          </w:drawing>
        </mc:Choice>
        <mc:Fallback>
          <w:pict>
            <v:rect id="文本框 1" o:spid="_x0000_s1026" o:spt="1" style="position:absolute;left:0pt;margin-top:0pt;height:144pt;width:86.45pt;mso-position-horizontal:outside;mso-position-horizontal-relative:margin;z-index:251659264;mso-width-relative:page;mso-height-relative:page;" filled="f" stroked="f" coordsize="21600,21600" o:gfxdata="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Hsj7x1QAAAAUBAAAPAAAAAAAAAAEA&#10;IAAAACIAAABkcnMvZG93bnJldi54bWxQSwECFAAUAAAACACHTuJA0TmlJ9kBAACgAwAADgAAAAAA&#10;AAABACAAAAAkAQAAZHJzL2Uyb0RvYy54bWxQSwUGAAAAAAYABgBZAQAAbwUAAAAA&#10;">
              <v:fill on="f" focussize="0,0"/>
              <v:stroke on="f"/>
              <v:imagedata o:title=""/>
              <o:lock v:ext="edit" aspectratio="f"/>
              <v:textbox inset="0mm,0mm,0mm,0mm" style="mso-fit-shape-to-text:t;">
                <w:txbxContent>
                  <w:p w14:paraId="69638C86">
                    <w:pPr>
                      <w:pStyle w:val="3"/>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2C68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qFormat/>
    <w:uiPriority w:val="0"/>
  </w:style>
  <w:style w:type="table" w:default="1" w:styleId="6">
    <w:name w:val="Normal Table"/>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正文文本1"/>
    <w:basedOn w:val="1"/>
    <w:qFormat/>
    <w:uiPriority w:val="0"/>
    <w:pPr>
      <w:shd w:val="clear" w:color="auto" w:fill="FFFFFF"/>
      <w:spacing w:line="0" w:lineRule="atLeast"/>
      <w:jc w:val="right"/>
    </w:pPr>
    <w:rPr>
      <w:rFonts w:ascii="宋体" w:hAnsi="宋体" w:cs="宋体"/>
      <w:spacing w:val="2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xx\AppData\Local\Kingsoft\WPS%20Office\12.1.0.22529\office6\file:\C:\Users\yan\AppData\Roaming\Kingsoft\Office6\templates\&#31354;&#25991;&#26723;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空文档1.dotx</Template>
  <Pages>9</Pages>
  <Words>3447</Words>
  <Characters>3540</Characters>
  <Paragraphs>91</Paragraphs>
  <TotalTime>25</TotalTime>
  <ScaleCrop>false</ScaleCrop>
  <LinksUpToDate>false</LinksUpToDate>
  <CharactersWithSpaces>3628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2022-09-26T07:48:00Z</dcterms:created>
  <dc:creator>道通为一</dc:creator>
  <cp:lastModifiedBy>xixi</cp:lastModifiedBy>
  <dcterms:modified xsi:type="dcterms:W3CDTF">2025-09-20T00:33:26Z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50F51509EAED4FA280E3C277D3890F07_13</vt:lpwstr>
  </property>
  <property fmtid="{D5CDD505-2E9C-101B-9397-08002B2CF9AE}" pid="4" name="KSOTemplateDocerSaveRecord">
    <vt:lpwstr>eyJoZGlkIjoiMGNjNzIxZDUxZmZjNTRiOTNjNGVhMmUwMmMwZWE5ZmEiLCJ1c2VySWQiOiIyODI1ODQwNjYifQ==</vt:lpwstr>
  </property>
</Properties>
</file>