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jc w:val="center"/>
        <w:tblBorders>
          <w:top w:val="none" w:color="auto" w:sz="0" w:space="0"/>
          <w:left w:val="none" w:color="auto" w:sz="0" w:space="0"/>
          <w:bottom w:val="single" w:color="FF0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4"/>
      </w:tblGrid>
      <w:tr w14:paraId="11547099">
        <w:tblPrEx>
          <w:tblBorders>
            <w:top w:val="none" w:color="auto" w:sz="0" w:space="0"/>
            <w:left w:val="none" w:color="auto" w:sz="0" w:space="0"/>
            <w:bottom w:val="single" w:color="FF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191" w:hRule="exact"/>
          <w:jc w:val="center"/>
        </w:trPr>
        <w:tc>
          <w:tcPr>
            <w:tcW w:w="8844" w:type="dxa"/>
            <w:tcBorders>
              <w:tl2br w:val="nil"/>
              <w:tr2bl w:val="nil"/>
            </w:tcBorders>
            <w:noWrap w:val="0"/>
            <w:vAlign w:val="center"/>
          </w:tcPr>
          <w:p w14:paraId="0032D2F2">
            <w:pPr>
              <w:keepNext w:val="0"/>
              <w:keepLines w:val="0"/>
              <w:pageBreakBefore w:val="0"/>
              <w:widowControl w:val="0"/>
              <w:tabs>
                <w:tab w:val="left" w:pos="2308"/>
                <w:tab w:val="center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00" w:lineRule="exact"/>
              <w:jc w:val="center"/>
              <w:textAlignment w:val="auto"/>
              <w:outlineLvl w:val="9"/>
              <w:rPr>
                <w:rFonts w:hint="eastAsia" w:ascii="方正小标宋简体" w:hAnsi="华文中宋" w:eastAsia="方正小标宋简体"/>
                <w:b/>
                <w:w w:val="52"/>
                <w:sz w:val="44"/>
                <w:szCs w:val="44"/>
                <w:vertAlign w:val="baseline"/>
                <w:lang w:eastAsia="zh-CN"/>
              </w:rPr>
            </w:pPr>
            <w:bookmarkStart w:id="0" w:name="Content"/>
          </w:p>
        </w:tc>
      </w:tr>
      <w:bookmarkEnd w:id="0"/>
      <w:tr w14:paraId="1A16A4B3">
        <w:tblPrEx>
          <w:tblBorders>
            <w:top w:val="none" w:color="auto" w:sz="0" w:space="0"/>
            <w:left w:val="none" w:color="auto" w:sz="0" w:space="0"/>
            <w:bottom w:val="single" w:color="FF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644" w:hRule="exact"/>
          <w:jc w:val="center"/>
        </w:trPr>
        <w:tc>
          <w:tcPr>
            <w:tcW w:w="8844" w:type="dxa"/>
            <w:tcBorders>
              <w:tl2br w:val="nil"/>
              <w:tr2bl w:val="nil"/>
            </w:tcBorders>
            <w:noWrap w:val="0"/>
            <w:vAlign w:val="center"/>
          </w:tcPr>
          <w:p w14:paraId="58D952B3">
            <w:pPr>
              <w:keepNext w:val="0"/>
              <w:keepLines w:val="0"/>
              <w:pageBreakBefore w:val="0"/>
              <w:widowControl w:val="0"/>
              <w:tabs>
                <w:tab w:val="left" w:pos="2308"/>
                <w:tab w:val="center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00" w:lineRule="exact"/>
              <w:jc w:val="center"/>
              <w:textAlignment w:val="auto"/>
              <w:outlineLvl w:val="9"/>
              <w:rPr>
                <w:rFonts w:hint="eastAsia" w:ascii="方正小标宋简体" w:hAnsi="华文中宋" w:eastAsia="方正小标宋简体"/>
                <w:b w:val="0"/>
                <w:bCs/>
                <w:color w:val="FF0000"/>
                <w:w w:val="52"/>
                <w:sz w:val="144"/>
                <w:szCs w:val="14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>山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>东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>航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>空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</w:rPr>
              <w:t xml:space="preserve"> 学 院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eastAsia="zh-CN"/>
              </w:rPr>
              <w:t>研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eastAsia="zh-CN"/>
              </w:rPr>
              <w:t>究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eastAsia="zh-CN"/>
              </w:rPr>
              <w:t>生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eastAsia="zh-CN"/>
              </w:rPr>
              <w:t>处</w:t>
            </w:r>
          </w:p>
        </w:tc>
      </w:tr>
      <w:tr w14:paraId="49D381E3">
        <w:tblPrEx>
          <w:tblBorders>
            <w:top w:val="none" w:color="auto" w:sz="0" w:space="0"/>
            <w:left w:val="none" w:color="auto" w:sz="0" w:space="0"/>
            <w:bottom w:val="single" w:color="FF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8844" w:type="dxa"/>
            <w:tcBorders>
              <w:tl2br w:val="nil"/>
              <w:tr2bl w:val="nil"/>
            </w:tcBorders>
            <w:noWrap w:val="0"/>
            <w:vAlign w:val="bottom"/>
          </w:tcPr>
          <w:p w14:paraId="663A49D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outlineLvl w:val="0"/>
              <w:rPr>
                <w:rFonts w:hint="eastAsia" w:ascii="仿宋_GB2312" w:hAnsi="华文中宋" w:eastAsia="仿宋_GB2312"/>
                <w:color w:val="auto"/>
                <w:sz w:val="32"/>
                <w:szCs w:val="32"/>
              </w:rPr>
            </w:pPr>
          </w:p>
          <w:p w14:paraId="06DB77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outlineLvl w:val="0"/>
              <w:rPr>
                <w:rFonts w:hint="eastAsia" w:ascii="仿宋_GB2312" w:hAnsi="华文中宋" w:eastAsia="仿宋_GB2312"/>
                <w:color w:val="auto"/>
                <w:sz w:val="32"/>
                <w:szCs w:val="32"/>
              </w:rPr>
            </w:pPr>
          </w:p>
          <w:p w14:paraId="55F42D48">
            <w:pPr>
              <w:spacing w:line="400" w:lineRule="exact"/>
              <w:jc w:val="center"/>
              <w:rPr>
                <w:rFonts w:hint="eastAsia" w:ascii="仿宋_GB2312" w:hAnsi="华文中宋" w:eastAsia="仿宋_GB2312"/>
                <w:color w:val="FF0000"/>
                <w:sz w:val="32"/>
                <w:szCs w:val="32"/>
                <w:u w:val="single"/>
              </w:rPr>
            </w:pP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  <w:lang w:eastAsia="zh-CN"/>
              </w:rPr>
              <w:t>研字</w:t>
            </w: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</w:rPr>
              <w:t>〔20</w:t>
            </w: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  <w:lang w:val="en-US" w:eastAsia="zh-CN"/>
              </w:rPr>
              <w:t>24</w:t>
            </w: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</w:rPr>
              <w:t>〕</w:t>
            </w: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  <w:lang w:val="en-US" w:eastAsia="zh-CN"/>
              </w:rPr>
              <w:t xml:space="preserve"> 14 </w:t>
            </w: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</w:rPr>
              <w:t>号</w:t>
            </w:r>
          </w:p>
          <w:p w14:paraId="12EA2E5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bidi w:val="0"/>
              <w:spacing w:line="400" w:lineRule="exact"/>
              <w:jc w:val="center"/>
              <w:textAlignment w:val="auto"/>
              <w:outlineLvl w:val="0"/>
              <w:rPr>
                <w:rFonts w:hint="eastAsia" w:ascii="仿宋_GB2312" w:hAnsi="华文中宋" w:eastAsia="仿宋_GB2312"/>
                <w:color w:val="auto"/>
                <w:sz w:val="32"/>
                <w:szCs w:val="32"/>
                <w:u w:val="single"/>
              </w:rPr>
            </w:pPr>
          </w:p>
          <w:p w14:paraId="06AFFA4C">
            <w:pPr>
              <w:keepNext w:val="0"/>
              <w:keepLines w:val="0"/>
              <w:pageBreakBefore w:val="0"/>
              <w:widowControl w:val="0"/>
              <w:tabs>
                <w:tab w:val="left" w:pos="2308"/>
                <w:tab w:val="center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00" w:lineRule="exact"/>
              <w:jc w:val="center"/>
              <w:textAlignment w:val="auto"/>
              <w:outlineLvl w:val="9"/>
              <w:rPr>
                <w:rFonts w:hint="eastAsia" w:ascii="方正小标宋简体" w:hAnsi="华文中宋" w:eastAsia="方正小标宋简体"/>
                <w:b/>
                <w:w w:val="52"/>
                <w:sz w:val="44"/>
                <w:szCs w:val="44"/>
                <w:vertAlign w:val="baseline"/>
                <w:lang w:eastAsia="zh-CN"/>
              </w:rPr>
            </w:pPr>
          </w:p>
        </w:tc>
      </w:tr>
    </w:tbl>
    <w:p w14:paraId="0EBBCA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30AEC2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关于做好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2024年</w:t>
      </w:r>
      <w:bookmarkStart w:id="2" w:name="_GoBack"/>
      <w:bookmarkEnd w:id="2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研究生教育质量提升计划</w:t>
      </w:r>
    </w:p>
    <w:p w14:paraId="67C5D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项目结题工作的通知</w:t>
      </w:r>
    </w:p>
    <w:p w14:paraId="35331C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063615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项目承担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单位及项目负责人：</w:t>
      </w:r>
    </w:p>
    <w:p w14:paraId="363545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为贯彻落实全国、全省研究生教育会议精神，夯实研究生教育基础，提升研究生教育质量，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我校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立项建设了一批研究生教育教学改革研究项目、专业学位研究生教学案例库，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部分项目已到研究期限，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现就项目结题事宜通知如下：</w:t>
      </w:r>
    </w:p>
    <w:p w14:paraId="155D9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zh-CN"/>
        </w:rPr>
        <w:t>一、结题范围</w:t>
      </w:r>
    </w:p>
    <w:p w14:paraId="6E24C1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zh-CN" w:eastAsia="zh-CN" w:bidi="zh-CN"/>
        </w:rPr>
        <w:t>（一）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2022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zh-CN" w:eastAsia="zh-CN" w:bidi="zh-CN"/>
        </w:rPr>
        <w:t>年立项建设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的工程专业学位研究生教育指导委员会华北区域协作组研究课题；</w:t>
      </w:r>
    </w:p>
    <w:p w14:paraId="679E5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zh-CN" w:eastAsia="zh-CN" w:bidi="zh-CN"/>
        </w:rPr>
        <w:t>（二）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2022年立项建设的全国应用型高校研究生教育发展联盟课题；</w:t>
      </w:r>
    </w:p>
    <w:p w14:paraId="4C92C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（三）2022年立项的校级专业学位研究生教学案例库。</w:t>
      </w:r>
    </w:p>
    <w:p w14:paraId="27731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zh-CN" w:eastAsia="zh-CN" w:bidi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具体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zh-CN" w:eastAsia="zh-CN" w:bidi="zh-CN"/>
        </w:rPr>
        <w:t>项目名单见附件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1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zh-CN" w:eastAsia="zh-CN" w:bidi="zh-CN"/>
        </w:rPr>
        <w:t>。</w:t>
      </w:r>
    </w:p>
    <w:p w14:paraId="04EAA5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zh-CN"/>
        </w:rPr>
        <w:t>二、结题材料</w:t>
      </w:r>
    </w:p>
    <w:p w14:paraId="315C9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zh-CN"/>
        </w:rPr>
      </w:pPr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zh-CN"/>
        </w:rPr>
        <w:t>（一）</w:t>
      </w:r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zh-CN"/>
        </w:rPr>
        <w:t>材料提交要求</w:t>
      </w:r>
    </w:p>
    <w:p w14:paraId="444E3E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各类项目均需提交《结题报告书》1份（附件2）和支撑材料1套。其中，教改项目可以论文、著作或研究报告等形式结题。发表论文或出版著作需注明资助项目编号等相关信息，且与立项项目内容有较高相关性，否则不视为结题材料；案例库项目的支撑材料须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至少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提供10个案例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（可参照附件3）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，其中至少有 8 个原创性案例，每个教学案例不少于 1 课时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或者至少有 1 个被中国专业学位教学案例中心征集的案例，并提供《案例说明书》（附件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4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）。</w:t>
      </w:r>
    </w:p>
    <w:p w14:paraId="2C00C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以上材料需电子版、纸质版各1份。</w:t>
      </w:r>
    </w:p>
    <w:p w14:paraId="0F9DB3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zh-CN"/>
        </w:rPr>
      </w:pPr>
      <w:bookmarkStart w:id="1" w:name="_Hlk138754039"/>
      <w:bookmarkEnd w:id="1"/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zh-CN"/>
        </w:rPr>
        <w:t>（二）</w:t>
      </w:r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zh-CN"/>
        </w:rPr>
        <w:t>结题材料的电子版命名要求</w:t>
      </w:r>
    </w:p>
    <w:p w14:paraId="1B689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《结题报告书》，按照“立项编号+负责人姓名+结题报告书”方式进行命名形成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PDF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文件。支撑材料按照“立项编号+负责人姓名+支撑材料”方式进行命名，其中《案例说明书》按照“立项编号+负责人姓名+案例说明书”方式进行命名（无立项编号的可不写）形成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PDF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文件。</w:t>
      </w:r>
    </w:p>
    <w:p w14:paraId="7158A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zh-CN"/>
        </w:rPr>
        <w:t>三、材料报送</w:t>
      </w:r>
    </w:p>
    <w:p w14:paraId="0F78E6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结题材料由项目承担单位汇总并填写《项目结题汇总表》（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附件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5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）。电子版提交至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yjscbgs@126.com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，纸质版提交至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11教417。提交截止时间为2025年1月6日。</w:t>
      </w:r>
    </w:p>
    <w:p w14:paraId="27215E2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zh-CN"/>
        </w:rPr>
        <w:t>其他</w:t>
      </w:r>
    </w:p>
    <w:p w14:paraId="6D01C6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原则上达到研究期限的项目全部提交结题材料。若确实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无法按期结题的，须提交项目延期申请（附件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6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），项目只能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申请延期1年时间，再次延期将作自动撤项处理，撤项后项目主持人2年内不得申请研究生教育质量提升计划项目。</w:t>
      </w:r>
    </w:p>
    <w:p w14:paraId="7DD9D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联 系 人：张老师、许老师</w:t>
      </w:r>
    </w:p>
    <w:p w14:paraId="1B26E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 xml:space="preserve">电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 xml:space="preserve">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 xml:space="preserve"> 话：3095916（86916）、3806728（86728）</w:t>
      </w:r>
    </w:p>
    <w:p w14:paraId="59312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办公地点：11教417、402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室</w:t>
      </w:r>
    </w:p>
    <w:p w14:paraId="775BCE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</w:pPr>
    </w:p>
    <w:p w14:paraId="575DB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附件：</w:t>
      </w:r>
    </w:p>
    <w:p w14:paraId="1C77F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1.2024年各类项目到期应结题项目汇总表</w:t>
      </w:r>
    </w:p>
    <w:p w14:paraId="2E66FFFE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2.结题报告书</w:t>
      </w:r>
    </w:p>
    <w:p w14:paraId="760471B9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3.案例汇编</w:t>
      </w:r>
    </w:p>
    <w:p w14:paraId="52497ED1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4.案例说明书</w:t>
      </w:r>
    </w:p>
    <w:p w14:paraId="3016EFB7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5.2024年研究生教育质量提升计划项目结题汇总表</w:t>
      </w:r>
    </w:p>
    <w:p w14:paraId="323236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-2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6.</w:t>
      </w:r>
      <w:r>
        <w:rPr>
          <w:rFonts w:hint="eastAsia" w:ascii="仿宋_GB2312" w:hAnsi="仿宋_GB2312" w:eastAsia="仿宋_GB2312" w:cs="仿宋_GB2312"/>
          <w:spacing w:val="-11"/>
          <w:kern w:val="0"/>
          <w:sz w:val="32"/>
          <w:szCs w:val="32"/>
          <w:lang w:val="en-US" w:eastAsia="zh-CN" w:bidi="ar"/>
        </w:rPr>
        <w:t>山东航空学院研究生教育质量提升计划项目延期申请表</w:t>
      </w:r>
      <w:r>
        <w:rPr>
          <w:rFonts w:hint="eastAsia" w:ascii="仿宋_GB2312" w:hAnsi="仿宋_GB2312" w:eastAsia="仿宋_GB2312" w:cs="仿宋_GB2312"/>
          <w:spacing w:val="-20"/>
          <w:kern w:val="0"/>
          <w:sz w:val="32"/>
          <w:szCs w:val="32"/>
          <w:lang w:val="en-US" w:eastAsia="zh-CN" w:bidi="ar"/>
        </w:rPr>
        <w:t xml:space="preserve"> </w:t>
      </w:r>
    </w:p>
    <w:p w14:paraId="47DD2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pacing w:val="-20"/>
          <w:kern w:val="0"/>
          <w:sz w:val="32"/>
          <w:szCs w:val="32"/>
          <w:lang w:val="en-US" w:eastAsia="zh-CN" w:bidi="ar"/>
        </w:rPr>
      </w:pPr>
    </w:p>
    <w:p w14:paraId="75C29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</w:p>
    <w:p w14:paraId="18B585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                                    研究生处</w:t>
      </w:r>
    </w:p>
    <w:p w14:paraId="21DBD8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5760" w:firstLineChars="18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2024年12月6日</w:t>
      </w:r>
    </w:p>
    <w:p w14:paraId="0C4F9684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</w:p>
    <w:sectPr>
      <w:footerReference r:id="rId3" w:type="default"/>
      <w:pgSz w:w="11906" w:h="16838"/>
      <w:pgMar w:top="1440" w:right="1633" w:bottom="1327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A847F07-2D9F-47D2-85D8-0F628FFA071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37EB9BA0-B168-412A-8025-90FF43C420D8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2C705CF1-BB58-4BD2-9778-76783AEAA75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2437F8C4-2B58-4F53-9725-5D1A92FEFA8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887E07C9-8671-4878-B134-C0BEEA8D3A6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52701A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5A4473"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5A4473"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F2E131"/>
    <w:multiLevelType w:val="singleLevel"/>
    <w:tmpl w:val="DBF2E13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155AE"/>
    <w:rsid w:val="080D1A49"/>
    <w:rsid w:val="0F1F6FB9"/>
    <w:rsid w:val="10DE62E5"/>
    <w:rsid w:val="1ED35AA3"/>
    <w:rsid w:val="255E05CE"/>
    <w:rsid w:val="25626093"/>
    <w:rsid w:val="30257C8E"/>
    <w:rsid w:val="3BDC04F6"/>
    <w:rsid w:val="44677B5B"/>
    <w:rsid w:val="510C2D40"/>
    <w:rsid w:val="52DC2732"/>
    <w:rsid w:val="560D21EE"/>
    <w:rsid w:val="56133E59"/>
    <w:rsid w:val="5FFA069B"/>
    <w:rsid w:val="62BE321C"/>
    <w:rsid w:val="74A92964"/>
    <w:rsid w:val="79AD1C95"/>
    <w:rsid w:val="7E9A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942</Words>
  <Characters>1020</Characters>
  <Lines>0</Lines>
  <Paragraphs>0</Paragraphs>
  <TotalTime>14</TotalTime>
  <ScaleCrop>false</ScaleCrop>
  <LinksUpToDate>false</LinksUpToDate>
  <CharactersWithSpaces>1077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2024-11-28T07:05:00Z</dcterms:created>
  <dc:creator>Administrator</dc:creator>
  <cp:lastModifiedBy>道通为一</cp:lastModifiedBy>
  <dcterms:modified xsi:type="dcterms:W3CDTF">2024-12-06T08:15:07Z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D88CB3E16DA3426BA73B000573A7A55A_13</vt:lpwstr>
  </property>
</Properties>
</file>